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79E15">
      <w:pPr>
        <w:jc w:val="center"/>
        <w:rPr>
          <w:rFonts w:eastAsia="Calibri" w:cs="Calibri"/>
          <w:b/>
          <w:color w:val="FF0000"/>
          <w:sz w:val="28"/>
        </w:rPr>
      </w:pPr>
      <w:r>
        <w:rPr>
          <w:rFonts w:ascii="宋体" w:cs="宋体"/>
          <w:b/>
          <w:sz w:val="36"/>
        </w:rPr>
        <w:t>重庆市两江职业教育中心</w:t>
      </w:r>
      <w:r>
        <w:rPr>
          <w:rFonts w:hint="eastAsia" w:ascii="宋体" w:cs="宋体"/>
          <w:b/>
          <w:sz w:val="36"/>
        </w:rPr>
        <w:t>教学</w:t>
      </w:r>
      <w:r>
        <w:rPr>
          <w:rFonts w:ascii="宋体" w:cs="宋体"/>
          <w:b/>
          <w:sz w:val="36"/>
        </w:rPr>
        <w:t>教案</w:t>
      </w:r>
    </w:p>
    <w:tbl>
      <w:tblPr>
        <w:tblStyle w:val="2"/>
        <w:tblW w:w="10020" w:type="dxa"/>
        <w:tblInd w:w="0" w:type="dxa"/>
        <w:tblLayout w:type="fixed"/>
        <w:tblCellMar>
          <w:top w:w="0" w:type="dxa"/>
          <w:left w:w="10" w:type="dxa"/>
          <w:bottom w:w="0" w:type="dxa"/>
          <w:right w:w="10" w:type="dxa"/>
        </w:tblCellMar>
      </w:tblPr>
      <w:tblGrid>
        <w:gridCol w:w="1520"/>
        <w:gridCol w:w="1967"/>
        <w:gridCol w:w="1050"/>
        <w:gridCol w:w="2452"/>
        <w:gridCol w:w="836"/>
        <w:gridCol w:w="2195"/>
      </w:tblGrid>
      <w:tr w14:paraId="505C3CCE">
        <w:tblPrEx>
          <w:tblCellMar>
            <w:top w:w="0" w:type="dxa"/>
            <w:left w:w="10" w:type="dxa"/>
            <w:bottom w:w="0" w:type="dxa"/>
            <w:right w:w="10" w:type="dxa"/>
          </w:tblCellMar>
        </w:tblPrEx>
        <w:trPr>
          <w:trHeight w:val="927"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7840D3">
            <w:pPr>
              <w:jc w:val="center"/>
              <w:rPr>
                <w:b/>
              </w:rPr>
            </w:pPr>
            <w:r>
              <w:rPr>
                <w:rFonts w:ascii="宋体" w:cs="宋体"/>
                <w:b/>
                <w:sz w:val="28"/>
              </w:rPr>
              <w:t>课题</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5BDD81">
            <w:pPr>
              <w:jc w:val="center"/>
            </w:pPr>
            <w:r>
              <w:rPr>
                <w:rFonts w:hint="eastAsia" w:ascii="Times New Roman" w:hAnsi="Times New Roman"/>
                <w:sz w:val="24"/>
                <w:szCs w:val="24"/>
                <w:lang w:val="en-US" w:eastAsia="zh-CN"/>
              </w:rPr>
              <w:t>票款管理作业</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4D8BA3">
            <w:pPr>
              <w:jc w:val="center"/>
              <w:rPr>
                <w:b/>
              </w:rPr>
            </w:pPr>
            <w:r>
              <w:rPr>
                <w:rFonts w:ascii="宋体" w:cs="宋体"/>
                <w:b/>
                <w:sz w:val="28"/>
              </w:rPr>
              <w:t>班级</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F2A3A9"/>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7D741E">
            <w:pPr>
              <w:jc w:val="center"/>
              <w:rPr>
                <w:b/>
              </w:rPr>
            </w:pPr>
            <w:r>
              <w:rPr>
                <w:rFonts w:ascii="宋体" w:cs="宋体"/>
                <w:b/>
                <w:sz w:val="28"/>
              </w:rPr>
              <w:t>教师</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DC880D">
            <w:pPr>
              <w:jc w:val="center"/>
              <w:rPr>
                <w:rFonts w:ascii="宋体" w:cs="宋体"/>
              </w:rPr>
            </w:pPr>
          </w:p>
        </w:tc>
      </w:tr>
      <w:tr w14:paraId="5951CA2D">
        <w:tblPrEx>
          <w:tblCellMar>
            <w:top w:w="0" w:type="dxa"/>
            <w:left w:w="10" w:type="dxa"/>
            <w:bottom w:w="0" w:type="dxa"/>
            <w:right w:w="10" w:type="dxa"/>
          </w:tblCellMar>
        </w:tblPrEx>
        <w:trPr>
          <w:trHeight w:val="136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957BC1">
            <w:pPr>
              <w:jc w:val="center"/>
              <w:rPr>
                <w:b/>
              </w:rPr>
            </w:pPr>
            <w:r>
              <w:rPr>
                <w:rFonts w:ascii="宋体" w:cs="宋体"/>
                <w:b/>
                <w:sz w:val="28"/>
              </w:rPr>
              <w:t>课型</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B9A1E8">
            <w:pPr>
              <w:jc w:val="center"/>
            </w:pPr>
            <w:r>
              <w:rPr>
                <w:rFonts w:ascii="Times New Roman" w:hAnsi="Times New Roman"/>
                <w:sz w:val="24"/>
                <w:szCs w:val="24"/>
              </w:rPr>
              <w:t>新授课</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8538CA">
            <w:pPr>
              <w:jc w:val="center"/>
              <w:rPr>
                <w:b/>
              </w:rPr>
            </w:pPr>
            <w:r>
              <w:rPr>
                <w:rFonts w:ascii="宋体" w:cs="宋体"/>
                <w:b/>
                <w:sz w:val="28"/>
              </w:rPr>
              <w:t>课时</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DD5A53">
            <w:pPr>
              <w:jc w:val="left"/>
              <w:rPr>
                <w:rFonts w:ascii="Times New Roman" w:hAnsi="Times New Roman"/>
                <w:sz w:val="24"/>
                <w:szCs w:val="24"/>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周</w:t>
            </w:r>
          </w:p>
          <w:p w14:paraId="11C99913">
            <w:pPr>
              <w:jc w:val="left"/>
              <w:rPr>
                <w:rFonts w:ascii="宋体" w:cs="宋体"/>
                <w:sz w:val="28"/>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课时</w:t>
            </w:r>
          </w:p>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9D80DE">
            <w:pPr>
              <w:jc w:val="center"/>
              <w:rPr>
                <w:rFonts w:ascii="宋体" w:cs="宋体"/>
                <w:b/>
                <w:sz w:val="28"/>
              </w:rPr>
            </w:pPr>
            <w:r>
              <w:rPr>
                <w:rFonts w:hint="eastAsia" w:ascii="宋体" w:cs="宋体"/>
                <w:b/>
                <w:sz w:val="28"/>
              </w:rPr>
              <w:t>上课</w:t>
            </w:r>
          </w:p>
          <w:p w14:paraId="2F64384E">
            <w:pPr>
              <w:jc w:val="center"/>
              <w:rPr>
                <w:b/>
              </w:rPr>
            </w:pPr>
            <w:r>
              <w:rPr>
                <w:rFonts w:ascii="宋体" w:cs="宋体"/>
                <w:b/>
                <w:sz w:val="28"/>
              </w:rPr>
              <w:t>时间</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15AF40F">
            <w:pPr>
              <w:jc w:val="center"/>
              <w:rPr>
                <w:b/>
                <w:sz w:val="28"/>
                <w:szCs w:val="28"/>
              </w:rPr>
            </w:pPr>
          </w:p>
        </w:tc>
      </w:tr>
      <w:tr w14:paraId="23EBA0EC">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31C5FB50">
            <w:pPr>
              <w:jc w:val="center"/>
              <w:rPr>
                <w:rFonts w:ascii="宋体" w:cs="宋体"/>
                <w:b/>
                <w:sz w:val="28"/>
              </w:rPr>
            </w:pPr>
            <w:r>
              <w:rPr>
                <w:rFonts w:hint="eastAsia" w:ascii="宋体" w:cs="宋体"/>
                <w:b/>
                <w:sz w:val="28"/>
              </w:rPr>
              <w:t>学情分析</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346F32C">
            <w:pPr>
              <w:spacing w:line="360" w:lineRule="auto"/>
              <w:jc w:val="left"/>
              <w:rPr>
                <w:rFonts w:hint="eastAsia" w:ascii="宋体" w:hAnsi="宋体" w:eastAsia="宋体" w:cs="宋体"/>
                <w:sz w:val="24"/>
                <w:szCs w:val="24"/>
              </w:rPr>
            </w:pPr>
            <w:r>
              <w:rPr>
                <w:rFonts w:hint="eastAsia" w:ascii="宋体" w:hAnsi="宋体" w:eastAsia="宋体" w:cs="宋体"/>
                <w:sz w:val="24"/>
                <w:szCs w:val="24"/>
              </w:rPr>
              <w:t>在日常乘坐地铁过程中，学生对自动售票机等设备有直观感受，但对地铁票务运营的核心环节如客值清点、票款解行、设备钱箱管理等工作缺乏深入认知。学生思维活跃，对地铁票务现金管理、设备操作背后的严谨流程和安全规范有探索兴趣，且具备一定自主学习和团队协作能力，能通过资料收集初步了解理论知识。</w:t>
            </w:r>
          </w:p>
        </w:tc>
      </w:tr>
      <w:tr w14:paraId="5496B940">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1895195">
            <w:pPr>
              <w:jc w:val="center"/>
              <w:rPr>
                <w:rFonts w:ascii="宋体" w:cs="宋体"/>
                <w:b/>
                <w:sz w:val="28"/>
              </w:rPr>
            </w:pPr>
            <w:r>
              <w:rPr>
                <w:rFonts w:hint="eastAsia" w:ascii="宋体" w:cs="宋体"/>
                <w:b/>
                <w:sz w:val="28"/>
              </w:rPr>
              <w:t>课程思政</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59C64CB5">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1.培养高度的责任心。</w:t>
            </w:r>
          </w:p>
          <w:p w14:paraId="6A16ACD1">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2.严格遵守票款管理制度和财务纪律。</w:t>
            </w:r>
          </w:p>
          <w:p w14:paraId="5EE30A3F">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3.认真履行岗位职责。</w:t>
            </w:r>
          </w:p>
        </w:tc>
      </w:tr>
      <w:tr w14:paraId="53A13ED7">
        <w:tblPrEx>
          <w:tblCellMar>
            <w:top w:w="0" w:type="dxa"/>
            <w:left w:w="10" w:type="dxa"/>
            <w:bottom w:w="0" w:type="dxa"/>
            <w:right w:w="10" w:type="dxa"/>
          </w:tblCellMar>
        </w:tblPrEx>
        <w:trPr>
          <w:trHeight w:val="1376"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4DA531">
            <w:pPr>
              <w:jc w:val="center"/>
              <w:rPr>
                <w:rFonts w:ascii="宋体"/>
                <w:b/>
              </w:rPr>
            </w:pPr>
            <w:r>
              <w:rPr>
                <w:rFonts w:ascii="宋体" w:cs="宋体"/>
                <w:b/>
                <w:sz w:val="28"/>
              </w:rPr>
              <w:t>教学目标</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32B53E">
            <w:pPr>
              <w:spacing w:line="360" w:lineRule="auto"/>
              <w:jc w:val="left"/>
              <w:rPr>
                <w:rFonts w:hint="eastAsia" w:ascii="Times New Roman" w:hAnsi="Times New Roman"/>
                <w:sz w:val="24"/>
                <w:szCs w:val="24"/>
              </w:rPr>
            </w:pPr>
            <w:r>
              <w:rPr>
                <w:rFonts w:hint="eastAsia" w:ascii="Times New Roman" w:hAnsi="Times New Roman"/>
                <w:sz w:val="24"/>
                <w:szCs w:val="24"/>
              </w:rPr>
              <w:t>知识目标：</w:t>
            </w:r>
          </w:p>
          <w:p w14:paraId="576A6823">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1.了解客值清点作业的流程。</w:t>
            </w:r>
          </w:p>
          <w:p w14:paraId="24378BFD">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2.了解票款解行的时间。</w:t>
            </w:r>
          </w:p>
          <w:p w14:paraId="1DB7CEE6">
            <w:pPr>
              <w:spacing w:line="360" w:lineRule="auto"/>
              <w:jc w:val="left"/>
              <w:rPr>
                <w:rFonts w:hint="default" w:ascii="Times New Roman" w:hAnsi="Times New Roman"/>
                <w:sz w:val="24"/>
                <w:szCs w:val="24"/>
                <w:lang w:val="en-US"/>
              </w:rPr>
            </w:pPr>
            <w:r>
              <w:rPr>
                <w:rFonts w:hint="eastAsia" w:ascii="Times New Roman" w:hAnsi="Times New Roman"/>
                <w:sz w:val="24"/>
                <w:szCs w:val="24"/>
                <w:lang w:val="en-US" w:eastAsia="zh-CN"/>
              </w:rPr>
              <w:t>3.熟悉自动售票机更换钱箱、现金清点与加币。</w:t>
            </w:r>
          </w:p>
          <w:p w14:paraId="1A89CF0A">
            <w:pPr>
              <w:spacing w:line="360" w:lineRule="auto"/>
              <w:jc w:val="left"/>
              <w:rPr>
                <w:rFonts w:hint="eastAsia" w:ascii="Times New Roman" w:hAnsi="Times New Roman"/>
                <w:sz w:val="24"/>
                <w:szCs w:val="24"/>
              </w:rPr>
            </w:pPr>
            <w:r>
              <w:rPr>
                <w:rFonts w:hint="eastAsia" w:ascii="Times New Roman" w:hAnsi="Times New Roman"/>
                <w:sz w:val="24"/>
                <w:szCs w:val="24"/>
              </w:rPr>
              <w:t>能力目标：</w:t>
            </w:r>
          </w:p>
          <w:p w14:paraId="793211E1">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1.能够进行客值清点作业。</w:t>
            </w:r>
          </w:p>
          <w:p w14:paraId="0D772CF5">
            <w:pPr>
              <w:spacing w:line="360" w:lineRule="auto"/>
              <w:jc w:val="left"/>
              <w:rPr>
                <w:rFonts w:hint="eastAsia" w:ascii="宋体" w:hAnsi="宋体" w:cs="楷体"/>
                <w:sz w:val="24"/>
              </w:rPr>
            </w:pPr>
            <w:r>
              <w:rPr>
                <w:rFonts w:hint="eastAsia" w:ascii="Times New Roman" w:hAnsi="Times New Roman"/>
                <w:sz w:val="24"/>
                <w:szCs w:val="24"/>
                <w:lang w:val="en-US" w:eastAsia="zh-CN"/>
              </w:rPr>
              <w:t>2.能够进行票款解行作业。</w:t>
            </w:r>
          </w:p>
        </w:tc>
      </w:tr>
      <w:tr w14:paraId="483EBB59">
        <w:tblPrEx>
          <w:tblCellMar>
            <w:top w:w="0" w:type="dxa"/>
            <w:left w:w="10" w:type="dxa"/>
            <w:bottom w:w="0" w:type="dxa"/>
            <w:right w:w="10" w:type="dxa"/>
          </w:tblCellMar>
        </w:tblPrEx>
        <w:trPr>
          <w:trHeight w:val="398"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F4A295">
            <w:pPr>
              <w:jc w:val="center"/>
              <w:rPr>
                <w:rFonts w:ascii="宋体" w:cs="宋体"/>
                <w:b/>
                <w:sz w:val="28"/>
              </w:rPr>
            </w:pPr>
            <w:r>
              <w:rPr>
                <w:rFonts w:ascii="宋体" w:cs="宋体"/>
                <w:b/>
                <w:sz w:val="28"/>
              </w:rPr>
              <w:t>教学</w:t>
            </w:r>
            <w:r>
              <w:rPr>
                <w:rFonts w:hint="eastAsia" w:ascii="宋体" w:cs="宋体"/>
                <w:b/>
                <w:sz w:val="28"/>
              </w:rPr>
              <w:t>重</w:t>
            </w:r>
          </w:p>
          <w:p w14:paraId="230E2C9C">
            <w:pPr>
              <w:jc w:val="center"/>
              <w:rPr>
                <w:rFonts w:ascii="宋体" w:cs="宋体"/>
                <w:b/>
                <w:sz w:val="28"/>
              </w:rPr>
            </w:pPr>
            <w:r>
              <w:rPr>
                <w:rFonts w:hint="eastAsia" w:ascii="宋体" w:cs="宋体"/>
                <w:b/>
                <w:sz w:val="28"/>
              </w:rPr>
              <w:t>难点</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D22786">
            <w:pPr>
              <w:spacing w:line="360" w:lineRule="auto"/>
              <w:rPr>
                <w:rFonts w:ascii="Times New Roman" w:hAnsi="Times New Roman"/>
                <w:bCs/>
                <w:sz w:val="24"/>
                <w:szCs w:val="24"/>
              </w:rPr>
            </w:pPr>
            <w:r>
              <w:rPr>
                <w:rFonts w:hint="eastAsia" w:ascii="Times New Roman" w:hAnsi="Times New Roman"/>
                <w:bCs/>
                <w:sz w:val="24"/>
                <w:szCs w:val="24"/>
              </w:rPr>
              <w:t>1.</w:t>
            </w:r>
            <w:r>
              <w:rPr>
                <w:rFonts w:hint="eastAsia" w:ascii="Times New Roman" w:hAnsi="Times New Roman"/>
                <w:sz w:val="24"/>
                <w:szCs w:val="24"/>
                <w:lang w:val="en-US" w:eastAsia="zh-CN"/>
              </w:rPr>
              <w:t>客值清点作业的流程和票款解行</w:t>
            </w:r>
            <w:r>
              <w:rPr>
                <w:rFonts w:hint="eastAsia" w:ascii="Times New Roman" w:hAnsi="Times New Roman"/>
                <w:bCs/>
                <w:sz w:val="24"/>
                <w:szCs w:val="24"/>
              </w:rPr>
              <w:t>。</w:t>
            </w:r>
          </w:p>
          <w:p w14:paraId="1FFDF061">
            <w:pPr>
              <w:spacing w:line="360" w:lineRule="auto"/>
              <w:rPr>
                <w:rFonts w:hint="default" w:ascii="Times New Roman" w:hAnsi="Times New Roman" w:eastAsia="宋体"/>
                <w:bCs/>
                <w:sz w:val="24"/>
                <w:szCs w:val="24"/>
                <w:lang w:val="en-US" w:eastAsia="zh-CN"/>
              </w:rPr>
            </w:pPr>
            <w:r>
              <w:rPr>
                <w:rFonts w:hint="eastAsia" w:ascii="Times New Roman" w:hAnsi="Times New Roman"/>
                <w:bCs/>
                <w:sz w:val="24"/>
                <w:szCs w:val="24"/>
              </w:rPr>
              <w:t>2.</w:t>
            </w:r>
            <w:r>
              <w:rPr>
                <w:rFonts w:hint="eastAsia" w:ascii="Times New Roman" w:hAnsi="Times New Roman"/>
                <w:bCs/>
                <w:sz w:val="24"/>
                <w:szCs w:val="24"/>
                <w:lang w:val="en-US" w:eastAsia="zh-CN"/>
              </w:rPr>
              <w:t>实施</w:t>
            </w:r>
            <w:r>
              <w:rPr>
                <w:rFonts w:hint="eastAsia" w:ascii="Times New Roman" w:hAnsi="Times New Roman"/>
                <w:sz w:val="24"/>
                <w:szCs w:val="24"/>
                <w:lang w:val="en-US" w:eastAsia="zh-CN"/>
              </w:rPr>
              <w:t>客值清点作业和票款解行作业。</w:t>
            </w:r>
          </w:p>
        </w:tc>
      </w:tr>
      <w:tr w14:paraId="0D4C2EAB">
        <w:tblPrEx>
          <w:tblCellMar>
            <w:top w:w="0" w:type="dxa"/>
            <w:left w:w="10" w:type="dxa"/>
            <w:bottom w:w="0" w:type="dxa"/>
            <w:right w:w="10" w:type="dxa"/>
          </w:tblCellMar>
        </w:tblPrEx>
        <w:trPr>
          <w:trHeight w:val="432"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A616C8">
            <w:pPr>
              <w:jc w:val="center"/>
              <w:rPr>
                <w:rFonts w:ascii="宋体" w:cs="宋体"/>
                <w:b/>
              </w:rPr>
            </w:pPr>
            <w:r>
              <w:rPr>
                <w:rFonts w:ascii="宋体" w:cs="宋体"/>
                <w:b/>
                <w:sz w:val="28"/>
              </w:rPr>
              <w:t>教学方法</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C4BB24">
            <w:r>
              <w:rPr>
                <w:rFonts w:hint="eastAsia" w:ascii="Times New Roman" w:hAnsi="Times New Roman"/>
                <w:bCs/>
                <w:sz w:val="24"/>
                <w:szCs w:val="24"/>
              </w:rPr>
              <w:t>讲授法、互动问答法</w:t>
            </w:r>
          </w:p>
        </w:tc>
      </w:tr>
      <w:tr w14:paraId="1A35DB38">
        <w:tblPrEx>
          <w:tblCellMar>
            <w:top w:w="0" w:type="dxa"/>
            <w:left w:w="10" w:type="dxa"/>
            <w:bottom w:w="0" w:type="dxa"/>
            <w:right w:w="10" w:type="dxa"/>
          </w:tblCellMar>
        </w:tblPrEx>
        <w:trPr>
          <w:trHeight w:val="591"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A720C0">
            <w:pPr>
              <w:jc w:val="center"/>
              <w:rPr>
                <w:rFonts w:ascii="宋体" w:cs="宋体"/>
                <w:b/>
                <w:sz w:val="28"/>
              </w:rPr>
            </w:pPr>
            <w:r>
              <w:rPr>
                <w:rFonts w:hint="eastAsia" w:ascii="宋体" w:cs="宋体"/>
                <w:b/>
                <w:sz w:val="28"/>
              </w:rPr>
              <w:t>教学媒体</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A03C4B">
            <w:r>
              <w:rPr>
                <w:rFonts w:ascii="Times New Roman" w:hAnsi="Times New Roman"/>
                <w:sz w:val="24"/>
                <w:szCs w:val="24"/>
              </w:rPr>
              <w:t>多媒体</w:t>
            </w:r>
          </w:p>
        </w:tc>
      </w:tr>
      <w:tr w14:paraId="5353A8A0">
        <w:tblPrEx>
          <w:tblCellMar>
            <w:top w:w="0" w:type="dxa"/>
            <w:left w:w="10" w:type="dxa"/>
            <w:bottom w:w="0" w:type="dxa"/>
            <w:right w:w="10" w:type="dxa"/>
          </w:tblCellMar>
        </w:tblPrEx>
        <w:trPr>
          <w:trHeight w:val="390" w:hRule="atLeast"/>
        </w:trPr>
        <w:tc>
          <w:tcPr>
            <w:tcW w:w="10020" w:type="dxa"/>
            <w:gridSpan w:val="6"/>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F27C23F">
            <w:pPr>
              <w:jc w:val="center"/>
              <w:rPr>
                <w:rFonts w:ascii="宋体" w:cs="宋体"/>
              </w:rPr>
            </w:pPr>
            <w:r>
              <w:rPr>
                <w:rFonts w:ascii="宋体" w:cs="宋体"/>
                <w:b/>
                <w:sz w:val="28"/>
              </w:rPr>
              <w:t>教学过程</w:t>
            </w:r>
          </w:p>
        </w:tc>
      </w:tr>
      <w:tr w14:paraId="0A834541">
        <w:tblPrEx>
          <w:tblCellMar>
            <w:top w:w="0" w:type="dxa"/>
            <w:left w:w="10" w:type="dxa"/>
            <w:bottom w:w="0" w:type="dxa"/>
            <w:right w:w="10" w:type="dxa"/>
          </w:tblCellMar>
        </w:tblPrEx>
        <w:trPr>
          <w:trHeight w:val="254" w:hRule="atLeast"/>
        </w:trPr>
        <w:tc>
          <w:tcPr>
            <w:tcW w:w="1520" w:type="dxa"/>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vAlign w:val="center"/>
          </w:tcPr>
          <w:p w14:paraId="4B78F5BD">
            <w:pPr>
              <w:jc w:val="center"/>
              <w:rPr>
                <w:rFonts w:ascii="宋体" w:cs="宋体"/>
                <w:b/>
                <w:sz w:val="28"/>
              </w:rPr>
            </w:pPr>
            <w:r>
              <w:rPr>
                <w:rFonts w:hint="eastAsia" w:ascii="宋体" w:cs="宋体"/>
                <w:b/>
                <w:sz w:val="28"/>
              </w:rPr>
              <w:t>课前准备</w:t>
            </w:r>
          </w:p>
        </w:tc>
        <w:tc>
          <w:tcPr>
            <w:tcW w:w="8500" w:type="dxa"/>
            <w:gridSpan w:val="5"/>
            <w:tcBorders>
              <w:top w:val="single" w:color="auto" w:sz="4" w:space="0"/>
              <w:left w:val="single" w:color="auto" w:sz="4" w:space="0"/>
              <w:bottom w:val="single" w:color="000000" w:sz="4" w:space="0"/>
              <w:right w:val="single" w:color="000000" w:sz="4" w:space="0"/>
            </w:tcBorders>
            <w:shd w:val="clear" w:color="000000" w:fill="FFFFFF"/>
            <w:vAlign w:val="center"/>
          </w:tcPr>
          <w:p w14:paraId="7A7837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1.教师做好教学准备，包括课件、教学视频等，调试多媒体</w:t>
            </w:r>
          </w:p>
          <w:p w14:paraId="20E1E81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2.</w:t>
            </w:r>
            <w:r>
              <w:rPr>
                <w:rFonts w:hint="eastAsia" w:ascii="宋体" w:hAnsi="宋体" w:cs="楷体"/>
                <w:sz w:val="24"/>
                <w:lang w:val="en-US" w:eastAsia="zh-CN"/>
              </w:rPr>
              <w:t>教师和小组长做好实训准备工作：不同面值的练功纸币、信封、布袋、适量数目的砂纸、</w:t>
            </w:r>
            <w:bookmarkStart w:id="0" w:name="_GoBack"/>
            <w:bookmarkEnd w:id="0"/>
            <w:r>
              <w:rPr>
                <w:rFonts w:hint="eastAsia" w:ascii="宋体" w:hAnsi="宋体" w:cs="楷体"/>
                <w:sz w:val="24"/>
                <w:lang w:val="en-US" w:eastAsia="zh-CN"/>
              </w:rPr>
              <w:t>胶水。</w:t>
            </w:r>
          </w:p>
          <w:p w14:paraId="7105E7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cs="宋体"/>
                <w:b/>
                <w:sz w:val="28"/>
              </w:rPr>
            </w:pPr>
            <w:r>
              <w:rPr>
                <w:rFonts w:hint="eastAsia" w:ascii="宋体" w:hAnsi="宋体" w:cs="楷体"/>
                <w:sz w:val="24"/>
                <w:lang w:val="en-US" w:eastAsia="zh-CN"/>
              </w:rPr>
              <w:t>3.</w:t>
            </w:r>
            <w:r>
              <w:rPr>
                <w:rFonts w:hint="eastAsia" w:ascii="宋体" w:hAnsi="宋体" w:cs="楷体"/>
                <w:sz w:val="24"/>
              </w:rPr>
              <w:t>告知学生预习本次课</w:t>
            </w:r>
            <w:r>
              <w:rPr>
                <w:rFonts w:ascii="宋体" w:hAnsi="宋体" w:cs="楷体"/>
                <w:sz w:val="24"/>
              </w:rPr>
              <w:t>的相关</w:t>
            </w:r>
            <w:r>
              <w:rPr>
                <w:rFonts w:hint="eastAsia" w:ascii="宋体" w:hAnsi="宋体" w:cs="楷体"/>
                <w:sz w:val="24"/>
              </w:rPr>
              <w:t>内容</w:t>
            </w:r>
          </w:p>
        </w:tc>
      </w:tr>
      <w:tr w14:paraId="4C63475D">
        <w:tblPrEx>
          <w:tblCellMar>
            <w:top w:w="0" w:type="dxa"/>
            <w:left w:w="10" w:type="dxa"/>
            <w:bottom w:w="0" w:type="dxa"/>
            <w:right w:w="10" w:type="dxa"/>
          </w:tblCellMar>
        </w:tblPrEx>
        <w:trPr>
          <w:trHeight w:val="153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048B3A">
            <w:pPr>
              <w:rPr>
                <w:rFonts w:ascii="宋体" w:cs="宋体"/>
                <w:b/>
                <w:sz w:val="28"/>
              </w:rPr>
            </w:pPr>
            <w:r>
              <w:rPr>
                <w:rFonts w:ascii="宋体" w:cs="宋体"/>
                <w:b/>
                <w:sz w:val="28"/>
              </w:rPr>
              <w:t>教学环节</w:t>
            </w:r>
            <w:r>
              <w:rPr>
                <w:rFonts w:ascii="宋体" w:cs="宋体"/>
                <w:b/>
                <w:sz w:val="22"/>
              </w:rPr>
              <w:t>（时间分配）</w:t>
            </w:r>
          </w:p>
        </w:tc>
        <w:tc>
          <w:tcPr>
            <w:tcW w:w="3017" w:type="dxa"/>
            <w:gridSpan w:val="2"/>
            <w:tcBorders>
              <w:top w:val="single" w:color="auto" w:sz="4" w:space="0"/>
              <w:left w:val="single" w:color="000000" w:sz="4" w:space="0"/>
              <w:bottom w:val="single" w:color="auto" w:sz="4" w:space="0"/>
              <w:right w:val="single" w:color="auto" w:sz="4" w:space="0"/>
            </w:tcBorders>
            <w:shd w:val="clear" w:color="000000" w:fill="FFFFFF"/>
            <w:tcMar>
              <w:left w:w="108" w:type="dxa"/>
              <w:right w:w="108" w:type="dxa"/>
            </w:tcMar>
            <w:vAlign w:val="center"/>
          </w:tcPr>
          <w:p w14:paraId="6E5E2E3F">
            <w:pPr>
              <w:jc w:val="center"/>
              <w:rPr>
                <w:rFonts w:ascii="宋体" w:cs="宋体"/>
                <w:b/>
                <w:sz w:val="28"/>
              </w:rPr>
            </w:pPr>
            <w:r>
              <w:rPr>
                <w:rFonts w:hint="eastAsia" w:ascii="宋体" w:cs="宋体"/>
                <w:b/>
                <w:sz w:val="28"/>
              </w:rPr>
              <w:t>教学内容及要点</w:t>
            </w:r>
          </w:p>
        </w:tc>
        <w:tc>
          <w:tcPr>
            <w:tcW w:w="2452" w:type="dxa"/>
            <w:tcBorders>
              <w:top w:val="single" w:color="auto" w:sz="4" w:space="0"/>
              <w:left w:val="single" w:color="auto" w:sz="4" w:space="0"/>
              <w:bottom w:val="single" w:color="000000" w:sz="4" w:space="0"/>
              <w:right w:val="single" w:color="000000" w:sz="4" w:space="0"/>
            </w:tcBorders>
            <w:shd w:val="clear" w:color="000000" w:fill="FFFFFF"/>
            <w:vAlign w:val="center"/>
          </w:tcPr>
          <w:p w14:paraId="2E212298">
            <w:pPr>
              <w:jc w:val="center"/>
              <w:rPr>
                <w:rFonts w:ascii="宋体" w:cs="宋体"/>
                <w:b/>
                <w:sz w:val="28"/>
              </w:rPr>
            </w:pPr>
            <w:r>
              <w:rPr>
                <w:rFonts w:hint="eastAsia" w:ascii="宋体" w:cs="宋体"/>
                <w:b/>
                <w:sz w:val="28"/>
              </w:rPr>
              <w:t>师生双边活动</w:t>
            </w: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38F6DD">
            <w:pPr>
              <w:rPr>
                <w:rFonts w:ascii="宋体" w:cs="宋体"/>
                <w:b/>
                <w:sz w:val="28"/>
              </w:rPr>
            </w:pPr>
            <w:r>
              <w:rPr>
                <w:rFonts w:ascii="宋体" w:cs="宋体"/>
                <w:b/>
                <w:sz w:val="28"/>
              </w:rPr>
              <w:t>设计意图</w:t>
            </w:r>
          </w:p>
        </w:tc>
      </w:tr>
      <w:tr w14:paraId="5F97D279">
        <w:tblPrEx>
          <w:tblCellMar>
            <w:top w:w="0" w:type="dxa"/>
            <w:left w:w="10" w:type="dxa"/>
            <w:bottom w:w="0" w:type="dxa"/>
            <w:right w:w="10" w:type="dxa"/>
          </w:tblCellMar>
        </w:tblPrEx>
        <w:trPr>
          <w:trHeight w:val="784"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7B594C7">
            <w:pPr>
              <w:ind w:firstLine="141" w:firstLineChars="50"/>
              <w:jc w:val="center"/>
              <w:rPr>
                <w:rFonts w:ascii="宋体" w:cs="宋体"/>
                <w:b/>
                <w:sz w:val="28"/>
              </w:rPr>
            </w:pPr>
            <w:r>
              <w:rPr>
                <w:rFonts w:ascii="宋体" w:cs="宋体"/>
                <w:b/>
                <w:sz w:val="28"/>
              </w:rPr>
              <w:t>导</w:t>
            </w:r>
          </w:p>
          <w:p w14:paraId="2C194F8A">
            <w:pPr>
              <w:ind w:firstLine="141" w:firstLineChars="50"/>
              <w:jc w:val="center"/>
            </w:pPr>
            <w:r>
              <w:rPr>
                <w:rFonts w:ascii="宋体" w:cs="宋体"/>
                <w:b/>
                <w:sz w:val="28"/>
              </w:rPr>
              <w:t>入</w:t>
            </w:r>
          </w:p>
        </w:tc>
        <w:tc>
          <w:tcPr>
            <w:tcW w:w="3017" w:type="dxa"/>
            <w:gridSpan w:val="2"/>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tcPr>
          <w:p w14:paraId="200A684E">
            <w:pPr>
              <w:spacing w:line="360" w:lineRule="auto"/>
              <w:ind w:firstLine="480" w:firstLineChars="200"/>
              <w:rPr>
                <w:rFonts w:ascii="Times New Roman" w:hAnsi="Times New Roman"/>
                <w:bCs/>
                <w:sz w:val="24"/>
                <w:szCs w:val="24"/>
              </w:rPr>
            </w:pPr>
            <w:r>
              <w:rPr>
                <w:rFonts w:hint="eastAsia" w:ascii="Times New Roman" w:hAnsi="Times New Roman"/>
                <w:bCs/>
                <w:sz w:val="24"/>
                <w:szCs w:val="24"/>
                <w:lang w:eastAsia="zh-CN"/>
              </w:rPr>
              <w:t>提出几个与票款管理相关的问题，如“票款是如何进行结算的？”“遇到票款异常如何处理？”等。</w:t>
            </w:r>
          </w:p>
        </w:tc>
        <w:tc>
          <w:tcPr>
            <w:tcW w:w="2452" w:type="dxa"/>
            <w:tcBorders>
              <w:top w:val="single" w:color="000000" w:sz="4" w:space="0"/>
              <w:left w:val="single" w:color="auto" w:sz="4" w:space="0"/>
              <w:bottom w:val="single" w:color="000000" w:sz="4" w:space="0"/>
              <w:right w:val="single" w:color="000000" w:sz="4" w:space="0"/>
            </w:tcBorders>
            <w:shd w:val="clear" w:color="000000" w:fill="FFFFFF"/>
          </w:tcPr>
          <w:p w14:paraId="7BA0B40F">
            <w:pPr>
              <w:rPr>
                <w:rFonts w:ascii="宋体" w:cs="宋体"/>
                <w:sz w:val="22"/>
              </w:rPr>
            </w:pPr>
            <w:r>
              <w:rPr>
                <w:rFonts w:ascii="Times New Roman" w:hAnsi="Times New Roman"/>
                <w:sz w:val="24"/>
                <w:szCs w:val="24"/>
              </w:rPr>
              <w:t>学生思考后，教师补充</w:t>
            </w:r>
          </w:p>
          <w:p w14:paraId="5F2892F1">
            <w:pPr>
              <w:rPr>
                <w:rFonts w:ascii="宋体" w:cs="宋体"/>
                <w:sz w:val="22"/>
              </w:rPr>
            </w:pP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549E7FC0">
            <w:pPr>
              <w:spacing w:line="379" w:lineRule="auto"/>
              <w:rPr>
                <w:rFonts w:ascii="Times New Roman" w:hAnsi="Times New Roman"/>
                <w:sz w:val="24"/>
              </w:rPr>
            </w:pPr>
            <w:r>
              <w:rPr>
                <w:rFonts w:hint="eastAsia" w:ascii="Times New Roman" w:hAnsi="Times New Roman"/>
                <w:sz w:val="24"/>
                <w:lang w:val="en-US" w:eastAsia="zh-CN"/>
              </w:rPr>
              <w:t>通过</w:t>
            </w:r>
            <w:r>
              <w:rPr>
                <w:rFonts w:hint="eastAsia" w:ascii="Times New Roman" w:hAnsi="Times New Roman"/>
                <w:sz w:val="24"/>
                <w:szCs w:val="24"/>
                <w:lang w:val="en-US" w:eastAsia="zh-CN"/>
              </w:rPr>
              <w:t>提问</w:t>
            </w:r>
            <w:r>
              <w:rPr>
                <w:rFonts w:hint="eastAsia" w:ascii="Times New Roman" w:hAnsi="Times New Roman"/>
                <w:sz w:val="24"/>
                <w:szCs w:val="24"/>
                <w:lang w:eastAsia="zh-CN"/>
              </w:rPr>
              <w:t>，引出本节课的主题，激发学生好奇心</w:t>
            </w:r>
            <w:r>
              <w:rPr>
                <w:rFonts w:hint="eastAsia" w:ascii="Times New Roman" w:hAnsi="Times New Roman"/>
                <w:sz w:val="24"/>
                <w:szCs w:val="24"/>
              </w:rPr>
              <w:t>。</w:t>
            </w:r>
          </w:p>
        </w:tc>
      </w:tr>
    </w:tbl>
    <w:tbl>
      <w:tblPr>
        <w:tblStyle w:val="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5479"/>
        <w:gridCol w:w="1521"/>
        <w:gridCol w:w="1522"/>
      </w:tblGrid>
      <w:tr w14:paraId="44B6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09" w:type="dxa"/>
            <w:vMerge w:val="restart"/>
            <w:shd w:val="clear" w:color="auto" w:fill="FFFFFF" w:themeFill="background1"/>
          </w:tcPr>
          <w:p w14:paraId="5E72511C">
            <w:pPr>
              <w:jc w:val="center"/>
              <w:rPr>
                <w:rFonts w:ascii="宋体" w:cs="宋体"/>
                <w:b/>
                <w:sz w:val="28"/>
              </w:rPr>
            </w:pPr>
            <w:r>
              <w:rPr>
                <w:rFonts w:hint="eastAsia" w:ascii="宋体" w:cs="宋体"/>
                <w:b/>
                <w:sz w:val="28"/>
              </w:rPr>
              <w:t>教</w:t>
            </w:r>
          </w:p>
          <w:p w14:paraId="629E8140">
            <w:pPr>
              <w:rPr>
                <w:rFonts w:hint="eastAsia" w:ascii="宋体" w:cs="宋体"/>
                <w:b/>
                <w:sz w:val="28"/>
              </w:rPr>
            </w:pPr>
          </w:p>
          <w:p w14:paraId="75D16B88">
            <w:pPr>
              <w:jc w:val="center"/>
              <w:rPr>
                <w:rFonts w:cs="Calibri"/>
                <w:b/>
                <w:sz w:val="28"/>
              </w:rPr>
            </w:pPr>
            <w:r>
              <w:rPr>
                <w:rFonts w:hint="eastAsia" w:ascii="宋体" w:cs="宋体"/>
                <w:b/>
                <w:sz w:val="28"/>
              </w:rPr>
              <w:t>学</w:t>
            </w:r>
          </w:p>
          <w:p w14:paraId="7E174733">
            <w:pPr>
              <w:rPr>
                <w:rFonts w:ascii="宋体" w:cs="Calibri"/>
                <w:b/>
                <w:sz w:val="28"/>
              </w:rPr>
            </w:pPr>
          </w:p>
          <w:p w14:paraId="5E136709">
            <w:pPr>
              <w:jc w:val="center"/>
              <w:rPr>
                <w:rFonts w:cs="Calibri"/>
                <w:b/>
                <w:sz w:val="28"/>
              </w:rPr>
            </w:pPr>
            <w:r>
              <w:rPr>
                <w:rFonts w:hint="eastAsia" w:ascii="宋体" w:cs="Calibri"/>
                <w:b/>
                <w:sz w:val="28"/>
              </w:rPr>
              <w:t>过</w:t>
            </w:r>
          </w:p>
          <w:p w14:paraId="2964B9AF">
            <w:pPr>
              <w:jc w:val="center"/>
              <w:rPr>
                <w:rFonts w:ascii="宋体" w:cs="宋体"/>
                <w:b/>
                <w:sz w:val="28"/>
              </w:rPr>
            </w:pPr>
          </w:p>
          <w:p w14:paraId="18343A41">
            <w:pPr>
              <w:jc w:val="center"/>
              <w:rPr>
                <w:rFonts w:ascii="宋体" w:cs="宋体"/>
                <w:b/>
                <w:sz w:val="28"/>
              </w:rPr>
            </w:pPr>
            <w:r>
              <w:rPr>
                <w:rFonts w:hint="eastAsia" w:ascii="宋体" w:cs="宋体"/>
                <w:b/>
                <w:sz w:val="28"/>
              </w:rPr>
              <w:t>程</w:t>
            </w:r>
          </w:p>
          <w:p w14:paraId="1E9EEC24">
            <w:pPr>
              <w:rPr>
                <w:color w:val="auto"/>
              </w:rPr>
            </w:pPr>
          </w:p>
        </w:tc>
        <w:tc>
          <w:tcPr>
            <w:tcW w:w="5479" w:type="dxa"/>
            <w:shd w:val="clear" w:color="auto" w:fill="FFFFFF" w:themeFill="background1"/>
            <w:vAlign w:val="top"/>
          </w:tcPr>
          <w:p w14:paraId="407D8E7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宋体" w:hAnsi="宋体" w:eastAsia="宋体" w:cs="宋体"/>
                <w:bCs/>
                <w:color w:val="auto"/>
                <w:kern w:val="2"/>
                <w:sz w:val="24"/>
                <w:szCs w:val="24"/>
                <w:lang w:val="en-US" w:eastAsia="zh-CN" w:bidi="ar-SA"/>
              </w:rPr>
            </w:pPr>
            <w:r>
              <w:rPr>
                <w:rFonts w:hint="eastAsia" w:ascii="宋体" w:hAnsi="宋体" w:cs="宋体"/>
                <w:bCs/>
                <w:color w:val="auto"/>
                <w:kern w:val="2"/>
                <w:sz w:val="24"/>
                <w:szCs w:val="24"/>
                <w:lang w:val="en-US" w:eastAsia="zh-CN" w:bidi="ar-SA"/>
              </w:rPr>
              <w:t>一、知识链接</w:t>
            </w:r>
          </w:p>
          <w:p w14:paraId="43259A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（一）</w:t>
            </w:r>
            <w:r>
              <w:rPr>
                <w:rFonts w:hint="eastAsia" w:ascii="宋体" w:hAnsi="宋体" w:cs="宋体"/>
                <w:bCs/>
                <w:color w:val="auto"/>
                <w:kern w:val="2"/>
                <w:sz w:val="24"/>
                <w:szCs w:val="24"/>
                <w:lang w:val="en-US" w:eastAsia="zh-CN" w:bidi="ar-SA"/>
              </w:rPr>
              <w:t>客值清点作业</w:t>
            </w:r>
          </w:p>
          <w:p w14:paraId="594703F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1.清点人员</w:t>
            </w:r>
          </w:p>
          <w:p w14:paraId="0C10C77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由客运值班员和值站将TVM钱箱收来，两人共同清点。</w:t>
            </w:r>
          </w:p>
        </w:tc>
        <w:tc>
          <w:tcPr>
            <w:tcW w:w="1521" w:type="dxa"/>
            <w:shd w:val="clear" w:color="auto" w:fill="FFFFFF" w:themeFill="background1"/>
            <w:vAlign w:val="center"/>
          </w:tcPr>
          <w:p w14:paraId="54B51E7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eastAsia="zh-CN"/>
              </w:rPr>
            </w:pPr>
            <w:r>
              <w:rPr>
                <w:rFonts w:hint="eastAsia"/>
                <w:color w:val="auto"/>
                <w:sz w:val="24"/>
                <w:szCs w:val="28"/>
                <w:lang w:val="en-US" w:eastAsia="zh-CN"/>
              </w:rPr>
              <w:t>教师讲解，学生认真听讲</w:t>
            </w:r>
          </w:p>
        </w:tc>
        <w:tc>
          <w:tcPr>
            <w:tcW w:w="1522" w:type="dxa"/>
            <w:shd w:val="clear" w:color="auto" w:fill="FFFFFF" w:themeFill="background1"/>
            <w:vAlign w:val="center"/>
          </w:tcPr>
          <w:p w14:paraId="435F93D3">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了解客值清点作业</w:t>
            </w:r>
            <w:r>
              <w:rPr>
                <w:rFonts w:hint="eastAsia" w:ascii="宋体" w:hAnsi="宋体" w:eastAsia="宋体" w:cs="宋体"/>
                <w:bCs/>
                <w:color w:val="auto"/>
                <w:kern w:val="2"/>
                <w:sz w:val="24"/>
                <w:szCs w:val="24"/>
                <w:lang w:val="en-US" w:eastAsia="zh-CN" w:bidi="ar-SA"/>
              </w:rPr>
              <w:t>的清点人员</w:t>
            </w:r>
          </w:p>
        </w:tc>
      </w:tr>
      <w:tr w14:paraId="32497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C23E43">
            <w:pPr>
              <w:rPr>
                <w:color w:val="auto"/>
              </w:rPr>
            </w:pPr>
          </w:p>
        </w:tc>
        <w:tc>
          <w:tcPr>
            <w:tcW w:w="5479" w:type="dxa"/>
            <w:shd w:val="clear" w:color="auto" w:fill="FFFFFF" w:themeFill="background1"/>
            <w:vAlign w:val="top"/>
          </w:tcPr>
          <w:p w14:paraId="5B58D71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2.需要填写的报表</w:t>
            </w:r>
          </w:p>
          <w:p w14:paraId="7DF79BE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需要由客运值班员填写《TVM清点记录表》，如表7-6所示。</w:t>
            </w:r>
          </w:p>
          <w:p w14:paraId="3B57B79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color w:val="auto"/>
                <w:kern w:val="2"/>
                <w:sz w:val="24"/>
                <w:szCs w:val="24"/>
                <w:lang w:val="en-US" w:eastAsia="zh-CN" w:bidi="ar-SA"/>
              </w:rPr>
            </w:pPr>
            <w:r>
              <w:drawing>
                <wp:inline distT="0" distB="0" distL="114300" distR="114300">
                  <wp:extent cx="3335655" cy="1810385"/>
                  <wp:effectExtent l="0" t="0" r="17145" b="18415"/>
                  <wp:docPr id="36"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4"/>
                          <pic:cNvPicPr>
                            <a:picLocks noChangeAspect="1"/>
                          </pic:cNvPicPr>
                        </pic:nvPicPr>
                        <pic:blipFill>
                          <a:blip r:embed="rId4"/>
                          <a:stretch>
                            <a:fillRect/>
                          </a:stretch>
                        </pic:blipFill>
                        <pic:spPr>
                          <a:xfrm>
                            <a:off x="0" y="0"/>
                            <a:ext cx="3335655" cy="1810385"/>
                          </a:xfrm>
                          <a:prstGeom prst="rect">
                            <a:avLst/>
                          </a:prstGeom>
                          <a:noFill/>
                          <a:ln>
                            <a:noFill/>
                          </a:ln>
                        </pic:spPr>
                      </pic:pic>
                    </a:graphicData>
                  </a:graphic>
                </wp:inline>
              </w:drawing>
            </w:r>
          </w:p>
        </w:tc>
        <w:tc>
          <w:tcPr>
            <w:tcW w:w="1521" w:type="dxa"/>
            <w:shd w:val="clear" w:color="auto" w:fill="FFFFFF" w:themeFill="background1"/>
            <w:vAlign w:val="center"/>
          </w:tcPr>
          <w:p w14:paraId="2C8FF3B2">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sz w:val="24"/>
                <w:szCs w:val="24"/>
                <w:lang w:val="en-US" w:eastAsia="zh-CN"/>
              </w:rPr>
            </w:pPr>
            <w:r>
              <w:rPr>
                <w:rFonts w:hint="eastAsia" w:ascii="Times New Roman" w:hAnsi="Times New Roman"/>
                <w:sz w:val="24"/>
                <w:szCs w:val="24"/>
                <w:lang w:val="en-US" w:eastAsia="zh-CN"/>
              </w:rPr>
              <w:t>展示表格</w:t>
            </w:r>
          </w:p>
          <w:p w14:paraId="400E3141">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ascii="Times New Roman" w:hAnsi="Times New Roman"/>
                <w:sz w:val="24"/>
                <w:szCs w:val="24"/>
              </w:rPr>
              <w:t>师讲解，学生观</w:t>
            </w:r>
          </w:p>
        </w:tc>
        <w:tc>
          <w:tcPr>
            <w:tcW w:w="1522" w:type="dxa"/>
            <w:shd w:val="clear" w:color="auto" w:fill="FFFFFF" w:themeFill="background1"/>
            <w:vAlign w:val="center"/>
          </w:tcPr>
          <w:p w14:paraId="2D5BB55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w:t>
            </w:r>
            <w:r>
              <w:rPr>
                <w:rFonts w:hint="eastAsia" w:ascii="宋体" w:hAnsi="宋体" w:eastAsia="宋体" w:cs="宋体"/>
                <w:bCs/>
                <w:color w:val="auto"/>
                <w:kern w:val="2"/>
                <w:sz w:val="24"/>
                <w:szCs w:val="24"/>
                <w:lang w:val="en-US" w:eastAsia="zh-CN" w:bidi="ar-SA"/>
              </w:rPr>
              <w:t>TVM清点记录表</w:t>
            </w:r>
          </w:p>
        </w:tc>
      </w:tr>
      <w:tr w14:paraId="23AED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A5A0138">
            <w:pPr>
              <w:rPr>
                <w:color w:val="auto"/>
              </w:rPr>
            </w:pPr>
          </w:p>
        </w:tc>
        <w:tc>
          <w:tcPr>
            <w:tcW w:w="5479" w:type="dxa"/>
            <w:shd w:val="clear" w:color="auto" w:fill="FFFFFF" w:themeFill="background1"/>
            <w:vAlign w:val="top"/>
          </w:tcPr>
          <w:p w14:paraId="1C73233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3.清点规定</w:t>
            </w:r>
          </w:p>
          <w:p w14:paraId="494EF1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（1）清点要求。</w:t>
            </w:r>
          </w:p>
          <w:p w14:paraId="3254DAA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①由当班值班员及以上级别人员和另一名站务人员进行钱箱的清点工作，并按要求在监控仪监视区域共同进行钱箱的清点工作。钱箱必须逐一清点。</w:t>
            </w:r>
          </w:p>
          <w:p w14:paraId="6E1F2A8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②若清点硬币，点币前需检查点币机内有无遗留硬币，若有则对遗留硬币进行清点，并将硬币金额在《车站营收日报》中反映。</w:t>
            </w:r>
          </w:p>
          <w:p w14:paraId="61E0836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③硬币钱箱清点完毕后，需在《钱箱清点记录表》记录金额。</w:t>
            </w:r>
          </w:p>
          <w:p w14:paraId="487B10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④每清点完一个钱箱，需确保钱箱已倒空并上锁。</w:t>
            </w:r>
          </w:p>
          <w:p w14:paraId="48725FB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⑤在清点完钱箱所有硬币后，需确认点币机内无遗留硬币。</w:t>
            </w:r>
          </w:p>
          <w:p w14:paraId="4C11AC4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⑥纸币钱箱清点时，清点人员将纸币钱箱打开，由另一清点人员将纸币钱箱内全部纸币取出，放在监控仪安全区域后，立即将钱箱上锁。</w:t>
            </w:r>
          </w:p>
          <w:p w14:paraId="431071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⑦由客运值班员填写《钱箱清点记录表》，将票款放于保险柜保管。</w:t>
            </w:r>
          </w:p>
          <w:p w14:paraId="4B15785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⑧客运值班员进入票务管理子系统“TVM清空清点”模块添加记录，录入本次清点的TVM设备号、箱号、机器金额和实际金额。</w:t>
            </w:r>
          </w:p>
          <w:p w14:paraId="544C8D0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⑨对凌晨3点以后系统生成的《设备票款差异》中显示短款的设备进行再次盘点，以防设备票款遗留在设备中未进行盘点，对盘点出的遗留票款在《设备票款差异》中进行备注，票款计入本台设备次日的实收金额。</w:t>
            </w:r>
          </w:p>
          <w:p w14:paraId="55FEE3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⑩若再次盘点未发现有设备遗留票款或遗留票款不足，当班客运值班员需调出监控录像查看是否在补币环节出现差错。若发现差错，在《设备票款差异》中备注清楚设备编号、差错金额以及责任人等相应信息。若无差错，需查看是否在其他环节出现问题，对于查明的原因在《设备票款差异》中备注情况。</w:t>
            </w:r>
          </w:p>
          <w:p w14:paraId="1BA8D88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t>⑪</w:t>
            </w:r>
            <w:r>
              <w:rPr>
                <w:rFonts w:hint="eastAsia" w:ascii="宋体" w:hAnsi="宋体" w:eastAsia="宋体" w:cs="宋体"/>
                <w:color w:val="auto"/>
                <w:kern w:val="0"/>
                <w:sz w:val="24"/>
                <w:szCs w:val="24"/>
                <w:lang w:val="en-US" w:eastAsia="zh-CN" w:bidi="ar"/>
              </w:rPr>
              <w:t>若车站在自查的过程中无任何异常情况，则在《设备票款差异》中注明“检查后无异常情况”的字样。</w:t>
            </w:r>
          </w:p>
        </w:tc>
        <w:tc>
          <w:tcPr>
            <w:tcW w:w="1521" w:type="dxa"/>
            <w:shd w:val="clear" w:color="auto" w:fill="FFFFFF" w:themeFill="background1"/>
            <w:vAlign w:val="center"/>
          </w:tcPr>
          <w:p w14:paraId="4E7E65E7">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color w:val="auto"/>
                <w:sz w:val="24"/>
                <w:szCs w:val="28"/>
                <w:lang w:val="en-US" w:eastAsia="zh-CN"/>
              </w:rPr>
              <w:t>邀请学生阅读，随后老师进行讲解</w:t>
            </w:r>
          </w:p>
        </w:tc>
        <w:tc>
          <w:tcPr>
            <w:tcW w:w="1522" w:type="dxa"/>
            <w:shd w:val="clear" w:color="auto" w:fill="FFFFFF" w:themeFill="background1"/>
            <w:vAlign w:val="center"/>
          </w:tcPr>
          <w:p w14:paraId="1CE8A280">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了解客值清点作业</w:t>
            </w:r>
            <w:r>
              <w:rPr>
                <w:rFonts w:hint="eastAsia" w:ascii="宋体" w:hAnsi="宋体" w:eastAsia="宋体" w:cs="宋体"/>
                <w:color w:val="auto"/>
                <w:kern w:val="0"/>
                <w:sz w:val="24"/>
                <w:szCs w:val="24"/>
                <w:lang w:val="en-US" w:eastAsia="zh-CN" w:bidi="ar"/>
              </w:rPr>
              <w:t>的清点要求</w:t>
            </w:r>
          </w:p>
        </w:tc>
      </w:tr>
      <w:tr w14:paraId="33F59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41B66D17">
            <w:pPr>
              <w:rPr>
                <w:color w:val="auto"/>
              </w:rPr>
            </w:pPr>
          </w:p>
        </w:tc>
        <w:tc>
          <w:tcPr>
            <w:tcW w:w="5479" w:type="dxa"/>
            <w:shd w:val="clear" w:color="auto" w:fill="FFFFFF" w:themeFill="background1"/>
            <w:vAlign w:val="top"/>
          </w:tcPr>
          <w:p w14:paraId="23BA323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（2）注意事项。</w:t>
            </w:r>
          </w:p>
          <w:p w14:paraId="6DC8C2D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①客运值班员在清点钱箱过程中，非紧急情况不得离开票务管理室。</w:t>
            </w:r>
          </w:p>
          <w:p w14:paraId="08368BA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②在清查钱箱时，必须确保钱箱、钱袋以及点币机位于监控仪的安全范围内，整个清查流程中，严禁任何人遮挡监控设备。</w:t>
            </w:r>
          </w:p>
          <w:p w14:paraId="7A4D78B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③若监控系统出现故障，导致车站无法依照规定程序清查钱箱，应由至少一名值班站长和客运值班员共同进行清点。《钱箱清点记录表》需要两人签字确认，并注明异常情况，同时应立即向站务车间报告。</w:t>
            </w:r>
          </w:p>
          <w:p w14:paraId="05B094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清点过程发现机币、假、残、外币，需对准摄像头形成近景记录，并在《特殊情况票款交接记录表》做好记录后双人签字加封（加封内容为日期、车站名、设备名，机、假、残、外币类别、面额、数量），在当日《钱箱清点记录表》上备注说明，按扣除机、假、残币后的金额解行。站务车间定期将加封的非标准币上交计划财务分部，由票务稽查牵头组织TVM供应商、票务清分中心（AFC工班）、站务车间车站客运值班员进行现场验证，形成《TVM机、假、残币复核单》，验证后的机、假、残币由车站客运值班员封包并做好记录后交票务稽查。详细处理办法参见《机、假、残币处理流程》。</w:t>
            </w:r>
          </w:p>
          <w:p w14:paraId="710F264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⑤钱箱清点完毕后，须确认空钱箱已全部上锁。</w:t>
            </w:r>
          </w:p>
          <w:p w14:paraId="4B169B8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⑥车站备用金换零工作必须在TVM清点完毕后，在值班站长的监督下进行。</w:t>
            </w:r>
          </w:p>
        </w:tc>
        <w:tc>
          <w:tcPr>
            <w:tcW w:w="1521" w:type="dxa"/>
            <w:shd w:val="clear" w:color="auto" w:fill="FFFFFF" w:themeFill="background1"/>
            <w:vAlign w:val="center"/>
          </w:tcPr>
          <w:p w14:paraId="6930A862">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8"/>
                <w:lang w:val="en-US" w:eastAsia="zh-CN"/>
              </w:rPr>
              <w:t>邀请学生阅读，随后老师进行讲解</w:t>
            </w:r>
          </w:p>
        </w:tc>
        <w:tc>
          <w:tcPr>
            <w:tcW w:w="1522" w:type="dxa"/>
            <w:shd w:val="clear" w:color="auto" w:fill="FFFFFF" w:themeFill="background1"/>
            <w:vAlign w:val="center"/>
          </w:tcPr>
          <w:p w14:paraId="686D46CE">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了解客值清点作业</w:t>
            </w:r>
            <w:r>
              <w:rPr>
                <w:rFonts w:hint="eastAsia" w:ascii="宋体" w:hAnsi="宋体" w:eastAsia="宋体" w:cs="宋体"/>
                <w:color w:val="auto"/>
                <w:kern w:val="0"/>
                <w:sz w:val="24"/>
                <w:szCs w:val="24"/>
                <w:lang w:val="en-US" w:eastAsia="zh-CN" w:bidi="ar"/>
              </w:rPr>
              <w:t>的注意事项</w:t>
            </w:r>
          </w:p>
        </w:tc>
      </w:tr>
      <w:tr w14:paraId="1AEBC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971B60C">
            <w:pPr>
              <w:rPr>
                <w:color w:val="auto"/>
              </w:rPr>
            </w:pPr>
          </w:p>
        </w:tc>
        <w:tc>
          <w:tcPr>
            <w:tcW w:w="5479" w:type="dxa"/>
            <w:shd w:val="clear" w:color="auto" w:fill="FFFFFF" w:themeFill="background1"/>
            <w:vAlign w:val="top"/>
          </w:tcPr>
          <w:p w14:paraId="793ABC7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4.清点流程</w:t>
            </w:r>
          </w:p>
          <w:p w14:paraId="7C12146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①将钱箱回收至票务室，在监控区域内分类摆放。</w:t>
            </w:r>
          </w:p>
          <w:p w14:paraId="3EF53BA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②清点纸币：客运值班员和站务员清点纸币时，取出纸币后须双人确认钱箱无遗留。将纸币按面值分钞，使用点钞机“智能”模式分别清点，同时纸币清点须做到机点两遍，如两遍清点金额不一致需再次确认。</w:t>
            </w:r>
          </w:p>
          <w:p w14:paraId="529D25B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硬币清点：客值和站务员清点硬币时，倒入点币机后须确认硬币钱箱无遗留硬币，并注意检查有无非标准币。硬币清点须做到机点两遍，如两遍清点金额不一致需再次清点。清点硬币箱有差额时，可以查看是否补币箱还用硬币，或者是特殊票款，例如卡币，可以在日结小单里的硬币计算一下可能有误差，或者看一下TVM打印小单早班补币有差额。</w:t>
            </w:r>
          </w:p>
          <w:p w14:paraId="7EC2059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④填写《TVM清点记录表》。</w:t>
            </w:r>
          </w:p>
          <w:p w14:paraId="01A4562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⑤录入车站计算机系统。</w:t>
            </w:r>
          </w:p>
        </w:tc>
        <w:tc>
          <w:tcPr>
            <w:tcW w:w="1521" w:type="dxa"/>
            <w:shd w:val="clear" w:color="auto" w:fill="FFFFFF" w:themeFill="background1"/>
            <w:vAlign w:val="center"/>
          </w:tcPr>
          <w:p w14:paraId="59DD634C">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8"/>
                <w:lang w:val="en-US" w:eastAsia="zh-CN"/>
              </w:rPr>
              <w:t>邀请学生阅读，随后老师进行讲解</w:t>
            </w:r>
          </w:p>
        </w:tc>
        <w:tc>
          <w:tcPr>
            <w:tcW w:w="1522" w:type="dxa"/>
            <w:shd w:val="clear" w:color="auto" w:fill="FFFFFF" w:themeFill="background1"/>
            <w:vAlign w:val="center"/>
          </w:tcPr>
          <w:p w14:paraId="47D520B3">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了解客值清点作业</w:t>
            </w:r>
            <w:r>
              <w:rPr>
                <w:rFonts w:hint="eastAsia" w:ascii="宋体" w:hAnsi="宋体" w:eastAsia="宋体" w:cs="宋体"/>
                <w:color w:val="auto"/>
                <w:kern w:val="0"/>
                <w:sz w:val="24"/>
                <w:szCs w:val="24"/>
                <w:lang w:val="en-US" w:eastAsia="zh-CN" w:bidi="ar"/>
              </w:rPr>
              <w:t>的清点流程</w:t>
            </w:r>
          </w:p>
        </w:tc>
      </w:tr>
      <w:tr w14:paraId="61047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BF7C976">
            <w:pPr>
              <w:rPr>
                <w:color w:val="auto"/>
              </w:rPr>
            </w:pPr>
          </w:p>
        </w:tc>
        <w:tc>
          <w:tcPr>
            <w:tcW w:w="5479" w:type="dxa"/>
            <w:shd w:val="clear" w:color="auto" w:fill="FFFFFF" w:themeFill="background1"/>
            <w:vAlign w:val="top"/>
          </w:tcPr>
          <w:p w14:paraId="12E1311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二</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票款解行</w:t>
            </w:r>
          </w:p>
          <w:p w14:paraId="39AEA37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1.解行负责人</w:t>
            </w:r>
          </w:p>
          <w:p w14:paraId="53D51A9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按照各站根据公司与银行约定的解行时间由车站值班站长和客运值班员作为解行负责人。</w:t>
            </w:r>
          </w:p>
        </w:tc>
        <w:tc>
          <w:tcPr>
            <w:tcW w:w="1521" w:type="dxa"/>
            <w:shd w:val="clear" w:color="auto" w:fill="FFFFFF" w:themeFill="background1"/>
            <w:vAlign w:val="center"/>
          </w:tcPr>
          <w:p w14:paraId="7F7A9DCB">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ascii="Times New Roman" w:hAnsi="Times New Roman"/>
                <w:sz w:val="24"/>
                <w:szCs w:val="24"/>
              </w:rPr>
              <w:t>师讲解，学生观</w:t>
            </w:r>
          </w:p>
        </w:tc>
        <w:tc>
          <w:tcPr>
            <w:tcW w:w="1522" w:type="dxa"/>
            <w:shd w:val="clear" w:color="auto" w:fill="FFFFFF" w:themeFill="background1"/>
            <w:vAlign w:val="center"/>
          </w:tcPr>
          <w:p w14:paraId="13B017EB">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票款解行的解行负责人</w:t>
            </w:r>
          </w:p>
        </w:tc>
      </w:tr>
      <w:tr w14:paraId="4E21E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0C7A000">
            <w:pPr>
              <w:rPr>
                <w:color w:val="auto"/>
              </w:rPr>
            </w:pPr>
          </w:p>
        </w:tc>
        <w:tc>
          <w:tcPr>
            <w:tcW w:w="5479" w:type="dxa"/>
            <w:shd w:val="clear" w:color="auto" w:fill="FFFFFF" w:themeFill="background1"/>
            <w:vAlign w:val="top"/>
          </w:tcPr>
          <w:p w14:paraId="0B9F261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2.解行时间</w:t>
            </w:r>
          </w:p>
          <w:p w14:paraId="2F47C39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因涉及银行方，解行操作时要求轨道交通运营企业根据车站特点及银行的服务时间确定解行时间，原则上保证车站能将尽可能多的现金及时存入银行，尽量减少现金在车站过夜，降低车站保管的风险。原则上，车站当日所有现金收入均须在次日解行，一元硬币不得解行（当日应送行票款大于车站站存纸币时除外，站存纸币指车站所有纸币，含车站日常备用金</w:t>
            </w:r>
            <w:r>
              <w:rPr>
                <w:rFonts w:hint="eastAsia" w:ascii="宋体" w:hAnsi="宋体" w:eastAsia="宋体" w:cs="宋体"/>
                <w:color w:val="auto"/>
                <w:kern w:val="0"/>
                <w:sz w:val="24"/>
                <w:szCs w:val="24"/>
                <w:lang w:val="en-US" w:eastAsia="zh-CN" w:bidi="ar"/>
              </w:rPr>
              <w:t>及当日票款）。</w:t>
            </w:r>
          </w:p>
        </w:tc>
        <w:tc>
          <w:tcPr>
            <w:tcW w:w="1521" w:type="dxa"/>
            <w:shd w:val="clear" w:color="auto" w:fill="FFFFFF" w:themeFill="background1"/>
            <w:vAlign w:val="center"/>
          </w:tcPr>
          <w:p w14:paraId="3DE739C4">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ascii="Times New Roman" w:hAnsi="Times New Roman"/>
                <w:sz w:val="24"/>
                <w:szCs w:val="24"/>
              </w:rPr>
              <w:t>师讲解，学生观</w:t>
            </w:r>
          </w:p>
        </w:tc>
        <w:tc>
          <w:tcPr>
            <w:tcW w:w="1522" w:type="dxa"/>
            <w:shd w:val="clear" w:color="auto" w:fill="FFFFFF" w:themeFill="background1"/>
            <w:vAlign w:val="center"/>
          </w:tcPr>
          <w:p w14:paraId="053FE4DA">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票款解行的解行时间</w:t>
            </w:r>
          </w:p>
        </w:tc>
      </w:tr>
      <w:tr w14:paraId="197B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D734A85">
            <w:pPr>
              <w:rPr>
                <w:color w:val="auto"/>
              </w:rPr>
            </w:pPr>
          </w:p>
        </w:tc>
        <w:tc>
          <w:tcPr>
            <w:tcW w:w="5479" w:type="dxa"/>
            <w:shd w:val="clear" w:color="auto" w:fill="FFFFFF" w:themeFill="background1"/>
            <w:vAlign w:val="top"/>
          </w:tcPr>
          <w:p w14:paraId="2E6566E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3.解行操作流程</w:t>
            </w:r>
          </w:p>
          <w:p w14:paraId="7F7162A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解行操作流程如图7-9所示。</w:t>
            </w:r>
          </w:p>
          <w:p w14:paraId="198E25B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sz w:val="24"/>
                <w:szCs w:val="24"/>
              </w:rPr>
              <w:drawing>
                <wp:inline distT="0" distB="0" distL="114300" distR="114300">
                  <wp:extent cx="3327400" cy="1100455"/>
                  <wp:effectExtent l="0" t="0" r="6350" b="4445"/>
                  <wp:docPr id="37"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5"/>
                          <pic:cNvPicPr>
                            <a:picLocks noChangeAspect="1"/>
                          </pic:cNvPicPr>
                        </pic:nvPicPr>
                        <pic:blipFill>
                          <a:blip r:embed="rId5"/>
                          <a:stretch>
                            <a:fillRect/>
                          </a:stretch>
                        </pic:blipFill>
                        <pic:spPr>
                          <a:xfrm>
                            <a:off x="0" y="0"/>
                            <a:ext cx="3327400" cy="1100455"/>
                          </a:xfrm>
                          <a:prstGeom prst="rect">
                            <a:avLst/>
                          </a:prstGeom>
                          <a:noFill/>
                          <a:ln>
                            <a:noFill/>
                          </a:ln>
                        </pic:spPr>
                      </pic:pic>
                    </a:graphicData>
                  </a:graphic>
                </wp:inline>
              </w:drawing>
            </w:r>
          </w:p>
        </w:tc>
        <w:tc>
          <w:tcPr>
            <w:tcW w:w="1521" w:type="dxa"/>
            <w:shd w:val="clear" w:color="auto" w:fill="FFFFFF" w:themeFill="background1"/>
            <w:vAlign w:val="center"/>
          </w:tcPr>
          <w:p w14:paraId="36252C97">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sz w:val="24"/>
                <w:szCs w:val="28"/>
                <w:lang w:val="en-US" w:eastAsia="zh-CN"/>
              </w:rPr>
            </w:pPr>
            <w:r>
              <w:rPr>
                <w:rFonts w:hint="eastAsia"/>
                <w:color w:val="auto"/>
                <w:sz w:val="24"/>
                <w:szCs w:val="28"/>
                <w:lang w:val="en-US" w:eastAsia="zh-CN"/>
              </w:rPr>
              <w:t>展示流程图，学生观看</w:t>
            </w:r>
          </w:p>
        </w:tc>
        <w:tc>
          <w:tcPr>
            <w:tcW w:w="1522" w:type="dxa"/>
            <w:shd w:val="clear" w:color="auto" w:fill="FFFFFF" w:themeFill="background1"/>
            <w:vAlign w:val="center"/>
          </w:tcPr>
          <w:p w14:paraId="572642E0">
            <w:pPr>
              <w:keepNext w:val="0"/>
              <w:keepLines w:val="0"/>
              <w:pageBreakBefore w:val="0"/>
              <w:kinsoku/>
              <w:wordWrap/>
              <w:overflowPunct/>
              <w:topLinePunct w:val="0"/>
              <w:autoSpaceDE/>
              <w:autoSpaceDN/>
              <w:bidi w:val="0"/>
              <w:adjustRightInd/>
              <w:snapToGrid/>
              <w:spacing w:line="240" w:lineRule="auto"/>
              <w:textAlignment w:val="auto"/>
              <w:rPr>
                <w:rFonts w:hint="eastAsia"/>
                <w:color w:val="auto"/>
                <w:sz w:val="24"/>
                <w:szCs w:val="24"/>
                <w:lang w:val="en-US" w:eastAsia="zh-CN"/>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解行操作流程</w:t>
            </w:r>
          </w:p>
        </w:tc>
      </w:tr>
      <w:tr w14:paraId="750C2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215FD95">
            <w:pPr>
              <w:rPr>
                <w:color w:val="auto"/>
              </w:rPr>
            </w:pPr>
          </w:p>
        </w:tc>
        <w:tc>
          <w:tcPr>
            <w:tcW w:w="5479" w:type="dxa"/>
            <w:shd w:val="clear" w:color="auto" w:fill="FFFFFF" w:themeFill="background1"/>
            <w:vAlign w:val="top"/>
          </w:tcPr>
          <w:p w14:paraId="7C44184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三</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自动售票机更换钱箱、现金清点与加币</w:t>
            </w:r>
          </w:p>
          <w:p w14:paraId="0DFE59A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1.自动售票机更换钱箱管理规定</w:t>
            </w:r>
          </w:p>
          <w:p w14:paraId="1C88D1C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TVM/AVM的钱箱分为纸币钱箱和硬币钱箱，由AFC综合作业员负责更换。钱箱更换的管理规定如下：</w:t>
            </w:r>
          </w:p>
          <w:p w14:paraId="0A17312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①纸币和硬币钱箱的更换工作应由AFC综合作业员与值班站长共同执行。其中，AFC综合作业员执行具体操作步骤，而值班站长则负责监督和确保安全。</w:t>
            </w:r>
          </w:p>
          <w:p w14:paraId="5FB29D6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②各站点需根据自身实际情况，制定出一套适合的更换钱箱作业流程。</w:t>
            </w:r>
          </w:p>
          <w:p w14:paraId="74A28E4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③在开启自动售票机的维修门进行钱箱更换时，操作员必须输入自己的ID和密码，并逐一操作每台设备，严禁同时操作多台设备。</w:t>
            </w:r>
          </w:p>
          <w:p w14:paraId="698CB7D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④完成钱箱更换后，应妥善保管设备打印出的单据，以便日后对账时使用。</w:t>
            </w:r>
          </w:p>
          <w:p w14:paraId="7B66073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⑤在锁闭维修门后，应确认TVM/AVM已恢复服务状态，然后立即将钱箱送回车站AFC票务室（或储票室）进行清点。</w:t>
            </w:r>
          </w:p>
          <w:p w14:paraId="0FB1B38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⑥更换钱箱时需注意的事项包括：</w:t>
            </w:r>
          </w:p>
          <w:p w14:paraId="1F52D4A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a.每天运营结束后，所有投入使用的自动售票机的钱箱都必须更换。</w:t>
            </w:r>
          </w:p>
          <w:p w14:paraId="7F48BC7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b.更换钱箱的工作应在车站计算机设定的设备服务结束时间之前完成。</w:t>
            </w:r>
          </w:p>
          <w:p w14:paraId="1C51D1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c.在作业过程中，设备自动打印的水单需要操作员签字后妥善保存，以便对账时使用。</w:t>
            </w:r>
          </w:p>
        </w:tc>
        <w:tc>
          <w:tcPr>
            <w:tcW w:w="1521" w:type="dxa"/>
            <w:shd w:val="clear" w:color="auto" w:fill="FFFFFF" w:themeFill="background1"/>
            <w:vAlign w:val="center"/>
          </w:tcPr>
          <w:p w14:paraId="7AE43C63">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8"/>
                <w:lang w:val="en-US" w:eastAsia="zh-CN"/>
              </w:rPr>
              <w:t>邀请学生阅读，随后老师进行讲解</w:t>
            </w:r>
          </w:p>
        </w:tc>
        <w:tc>
          <w:tcPr>
            <w:tcW w:w="1522" w:type="dxa"/>
            <w:shd w:val="clear" w:color="auto" w:fill="FFFFFF" w:themeFill="background1"/>
            <w:vAlign w:val="center"/>
          </w:tcPr>
          <w:p w14:paraId="38994650">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w:t>
            </w:r>
            <w:r>
              <w:rPr>
                <w:rFonts w:hint="eastAsia" w:ascii="宋体" w:hAnsi="宋体" w:eastAsia="宋体" w:cs="宋体"/>
                <w:color w:val="auto"/>
                <w:kern w:val="0"/>
                <w:sz w:val="24"/>
                <w:szCs w:val="24"/>
                <w:lang w:val="en-US" w:eastAsia="zh-CN" w:bidi="ar"/>
              </w:rPr>
              <w:t>自动售票机更换钱箱管理规定</w:t>
            </w:r>
          </w:p>
        </w:tc>
      </w:tr>
      <w:tr w14:paraId="39389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C79EAEF">
            <w:pPr>
              <w:rPr>
                <w:color w:val="auto"/>
              </w:rPr>
            </w:pPr>
          </w:p>
        </w:tc>
        <w:tc>
          <w:tcPr>
            <w:tcW w:w="5479" w:type="dxa"/>
            <w:shd w:val="clear" w:color="auto" w:fill="FFFFFF" w:themeFill="background1"/>
            <w:vAlign w:val="top"/>
          </w:tcPr>
          <w:p w14:paraId="68685B6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2.自动售票机现金清点的管理规定</w:t>
            </w:r>
          </w:p>
          <w:p w14:paraId="067B8E0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①更换TVM/AVM钱箱后，必须立即将其送回车站票务室以便清点。</w:t>
            </w:r>
          </w:p>
          <w:p w14:paraId="6028616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②钱箱的清点任务由AFC综合作业员和值班站长共同承担，其中值班站长负责监督，而AFC综合作业员则负责实际的清点工作。</w:t>
            </w:r>
          </w:p>
          <w:p w14:paraId="69D71C7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③在清点钱箱内的现金时，必须在指定的视频监控区域进行，且需分别清点纸币和硬币钱箱。</w:t>
            </w:r>
          </w:p>
          <w:p w14:paraId="0E66633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若在清点过程中发现现金有明显失真或被验钞机识别为伪钞，值班站长需确认并记录，随后与AFC综合作业员共同签字封存（封存内容包括日期、车站名、设备号、伪币种类、金额、数量以及双方签名）。AFC综合作业员还需在当日的《TVM/AVM钱箱日清点记录》上注明情况，并按实际清点数目交款。</w:t>
            </w:r>
          </w:p>
          <w:p w14:paraId="3FE2BDF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⑤AFC综合作业员负责填写相关的台账：</w:t>
            </w:r>
          </w:p>
          <w:p w14:paraId="612BC0E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a.运营时间内更换的钱箱，需在《钱箱更换记录台账》上准确登记，并由值班站长签字确认。</w:t>
            </w:r>
          </w:p>
          <w:p w14:paraId="5DD08EE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b.运营结束后，所有钱箱的现金清点结果应记录在《TVM/AVM钱箱日清点记录》的“实点金额”栏中，同时核对设备打印的TVM/AVM结算单与实际清点现金数量是否一致，由AFC综合作业员和值班站长共同签字确认。</w:t>
            </w:r>
          </w:p>
          <w:p w14:paraId="02113BC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⑥若钱箱清点票款与设备打印结算单不符：</w:t>
            </w:r>
          </w:p>
          <w:p w14:paraId="59CF2D1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a.若录像资料证明清点全程在规定监控范围内进行，且自动售票机无异常，则损失由公司承担。</w:t>
            </w:r>
          </w:p>
          <w:p w14:paraId="079443F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b.若无法证明清点全程在规定监控范围内，则损失由点钞者个人承担。</w:t>
            </w:r>
          </w:p>
          <w:p w14:paraId="46E0548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c.若证明清点全程在规定监控范围内，但自动售票机存在异常，则由相关部门妥善处理。</w:t>
            </w:r>
          </w:p>
          <w:p w14:paraId="396618C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⑦车站备用金换零工作应在钱箱清点作业完成后进行，且需AFC综合作业员和值班站长共同在场，由AFC综合作业员负责兑换，值班站长负责监督确认。</w:t>
            </w:r>
          </w:p>
          <w:p w14:paraId="025367D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⑧完成钱箱清点和备用金换零后，AFC综合作业员负责计算本站当日全部票款，填写《车站日交款明细》，并将除备用金外的全部票款锁入柜中保管。</w:t>
            </w:r>
          </w:p>
          <w:p w14:paraId="51E67A4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⑨次日，AFC综合作业员需将全部票款及设备打印的结账水单一并交给站区票务员。</w:t>
            </w:r>
          </w:p>
          <w:p w14:paraId="41B9452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⑩从封存票款至站区票务员收取款项期间，AFC综合作业员负责票款的安全保管，交接班时必须进行票款交接，值班站长负责监督。</w:t>
            </w:r>
          </w:p>
        </w:tc>
        <w:tc>
          <w:tcPr>
            <w:tcW w:w="1521" w:type="dxa"/>
            <w:shd w:val="clear" w:color="auto" w:fill="FFFFFF" w:themeFill="background1"/>
            <w:vAlign w:val="center"/>
          </w:tcPr>
          <w:p w14:paraId="5A2F4D62">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8"/>
                <w:lang w:val="en-US" w:eastAsia="zh-CN"/>
              </w:rPr>
              <w:t>邀请学生阅读，随后老师进行讲解</w:t>
            </w:r>
          </w:p>
        </w:tc>
        <w:tc>
          <w:tcPr>
            <w:tcW w:w="1522" w:type="dxa"/>
            <w:shd w:val="clear" w:color="auto" w:fill="FFFFFF" w:themeFill="background1"/>
            <w:vAlign w:val="center"/>
          </w:tcPr>
          <w:p w14:paraId="7242526F">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w:t>
            </w:r>
            <w:r>
              <w:rPr>
                <w:rFonts w:hint="eastAsia" w:ascii="宋体" w:hAnsi="宋体" w:eastAsia="宋体" w:cs="宋体"/>
                <w:color w:val="auto"/>
                <w:kern w:val="0"/>
                <w:sz w:val="24"/>
                <w:szCs w:val="24"/>
                <w:lang w:val="en-US" w:eastAsia="zh-CN" w:bidi="ar"/>
              </w:rPr>
              <w:t>自动售票机现金清点的管理规定</w:t>
            </w:r>
          </w:p>
        </w:tc>
      </w:tr>
      <w:tr w14:paraId="1676B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A86CEB1">
            <w:pPr>
              <w:rPr>
                <w:color w:val="auto"/>
              </w:rPr>
            </w:pPr>
          </w:p>
        </w:tc>
        <w:tc>
          <w:tcPr>
            <w:tcW w:w="5479" w:type="dxa"/>
            <w:shd w:val="clear" w:color="auto" w:fill="FFFFFF" w:themeFill="background1"/>
            <w:vAlign w:val="top"/>
          </w:tcPr>
          <w:p w14:paraId="456E297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3.自动售票机加币作业的管理规定</w:t>
            </w:r>
          </w:p>
          <w:p w14:paraId="2D2335B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①TVM找零器的加币任务由AFC综合作业员与值班站长共同执行。其中，AFC综合作业员执行具体操作，而值班站长则负责监督和确保安全。</w:t>
            </w:r>
          </w:p>
          <w:p w14:paraId="7D18A36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②在执行加币任务之前，AFC综合作业员和值班站长需在车站AFC票务室（或储票室）的监控下进行现金的出库、清点以及补币钱箱的放置等步骤。</w:t>
            </w:r>
          </w:p>
          <w:p w14:paraId="0465636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③各站点应根据自身情况，制定TVM加币的固定流程。</w:t>
            </w:r>
          </w:p>
          <w:p w14:paraId="78C49F5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④在打开自动售票机维修门，进行TVM加币作业之前，必须确保乘客交易已经结束，并输入操作员的ID和密码进行登录。</w:t>
            </w:r>
          </w:p>
          <w:p w14:paraId="3C0A192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⑤加币作业完成后，AFC综合作业员需确认自动售票机已恢复到正常的服务状态。</w:t>
            </w:r>
          </w:p>
          <w:p w14:paraId="0E4D66E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⑥携带机打水单和已空的加币钱箱返回AFC票务室（或储票室），核对水单与实际操作是否一致，并准确填写《TVM补票加币记录》，双方需签字确认。</w:t>
            </w:r>
          </w:p>
          <w:p w14:paraId="0827B1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⑦若水单打印的补币数量与实际补币数量不符，应在《TVM补票加币记录》的“备注”栏进行记录，并立即报告站区以便及时处理。</w:t>
            </w:r>
          </w:p>
          <w:p w14:paraId="658E66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⑧AFC综合作业员在TVM出币／出票口或其他地方拾获现金，应如实在《APC综合作业岗交接台账》“备注”栏进行登记。</w:t>
            </w:r>
          </w:p>
          <w:p w14:paraId="6D648DD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⑨TVM加币的时刻：</w:t>
            </w:r>
          </w:p>
          <w:p w14:paraId="6CD3CFC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a.运营启动前。</w:t>
            </w:r>
          </w:p>
          <w:p w14:paraId="3B3587C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b.运营期间若车站计算机显示自动售票机设备状态为找零器即将耗尽。</w:t>
            </w:r>
          </w:p>
          <w:p w14:paraId="4E307D3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c.若非人为设定，TVM处于无找零模式时。</w:t>
            </w:r>
          </w:p>
          <w:p w14:paraId="61BB983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⑩更换找零器的须知：</w:t>
            </w:r>
          </w:p>
          <w:p w14:paraId="20555D5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a.TVM的加币操作务必在车站计算机设定的系统服务终止时间之前完成。</w:t>
            </w:r>
          </w:p>
          <w:p w14:paraId="4ABA060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b.每日最后一班车后，需执行TVM结账，清空找零器。</w:t>
            </w:r>
          </w:p>
        </w:tc>
        <w:tc>
          <w:tcPr>
            <w:tcW w:w="1521" w:type="dxa"/>
            <w:shd w:val="clear" w:color="auto" w:fill="FFFFFF" w:themeFill="background1"/>
            <w:vAlign w:val="center"/>
          </w:tcPr>
          <w:p w14:paraId="44194C16">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ascii="Times New Roman" w:hAnsi="Times New Roman"/>
                <w:sz w:val="24"/>
                <w:szCs w:val="24"/>
              </w:rPr>
              <w:t>师讲解，学生观</w:t>
            </w:r>
          </w:p>
        </w:tc>
        <w:tc>
          <w:tcPr>
            <w:tcW w:w="1522" w:type="dxa"/>
            <w:shd w:val="clear" w:color="auto" w:fill="FFFFFF" w:themeFill="background1"/>
            <w:vAlign w:val="center"/>
          </w:tcPr>
          <w:p w14:paraId="5277B4B2">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自动售票机加币作业的管理规定</w:t>
            </w:r>
          </w:p>
        </w:tc>
      </w:tr>
      <w:tr w14:paraId="1B2AF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1C8CFD6">
            <w:pPr>
              <w:rPr>
                <w:color w:val="auto"/>
              </w:rPr>
            </w:pPr>
          </w:p>
        </w:tc>
        <w:tc>
          <w:tcPr>
            <w:tcW w:w="5479" w:type="dxa"/>
            <w:shd w:val="clear" w:color="auto" w:fill="FFFFFF" w:themeFill="background1"/>
          </w:tcPr>
          <w:p w14:paraId="1661675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二、</w:t>
            </w:r>
            <w:r>
              <w:rPr>
                <w:rFonts w:hint="eastAsia" w:ascii="宋体" w:hAnsi="宋体" w:eastAsia="宋体" w:cs="宋体"/>
                <w:color w:val="auto"/>
                <w:sz w:val="24"/>
                <w:szCs w:val="24"/>
                <w:lang w:val="en-US" w:eastAsia="zh-CN"/>
              </w:rPr>
              <w:t>任务准备</w:t>
            </w:r>
          </w:p>
          <w:p w14:paraId="49E320A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1.实训准备</w:t>
            </w:r>
          </w:p>
          <w:p w14:paraId="7DE666E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实训前，实训指导教师与小组长共同做好以下实训准备工作：</w:t>
            </w:r>
          </w:p>
          <w:p w14:paraId="3C7304C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①现金准备：不同面值的练功纸币。</w:t>
            </w:r>
          </w:p>
          <w:p w14:paraId="1F0BDBA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②加封材料准备：2个信封，2个布袋，适量数目的砂纸，1瓶胶水。</w:t>
            </w:r>
          </w:p>
          <w:p w14:paraId="42D6857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2.组织安排</w:t>
            </w:r>
          </w:p>
          <w:p w14:paraId="658CA6A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2人一组，按照布袋、信封、砂纸三种加封形式的要求，对现金进行加封操作，现金加封完成后，交由指导老师检查是否合格。</w:t>
            </w:r>
          </w:p>
        </w:tc>
        <w:tc>
          <w:tcPr>
            <w:tcW w:w="1521" w:type="dxa"/>
            <w:shd w:val="clear" w:color="auto" w:fill="FFFFFF" w:themeFill="background1"/>
            <w:vAlign w:val="center"/>
          </w:tcPr>
          <w:p w14:paraId="2CC93CB9">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sz w:val="24"/>
                <w:szCs w:val="24"/>
                <w:lang w:val="en-US"/>
              </w:rPr>
            </w:pPr>
            <w:r>
              <w:rPr>
                <w:rFonts w:hint="eastAsia" w:ascii="Times New Roman" w:hAnsi="Times New Roman"/>
                <w:color w:val="auto"/>
                <w:sz w:val="24"/>
                <w:szCs w:val="24"/>
                <w:lang w:val="en-US" w:eastAsia="zh-CN"/>
              </w:rPr>
              <w:t>教师进行实训设备的分发，对学生进行分组，学生做好实训准备</w:t>
            </w:r>
          </w:p>
        </w:tc>
        <w:tc>
          <w:tcPr>
            <w:tcW w:w="1522" w:type="dxa"/>
            <w:shd w:val="clear" w:color="auto" w:fill="FFFFFF" w:themeFill="background1"/>
            <w:vAlign w:val="center"/>
          </w:tcPr>
          <w:p w14:paraId="710A3821">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为实训任务实施做好准备</w:t>
            </w:r>
          </w:p>
        </w:tc>
      </w:tr>
      <w:tr w14:paraId="1EAE5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69A5D1B">
            <w:pPr>
              <w:rPr>
                <w:color w:val="auto"/>
              </w:rPr>
            </w:pPr>
          </w:p>
        </w:tc>
        <w:tc>
          <w:tcPr>
            <w:tcW w:w="5479" w:type="dxa"/>
            <w:shd w:val="clear" w:color="auto" w:fill="FFFFFF" w:themeFill="background1"/>
          </w:tcPr>
          <w:p w14:paraId="4A0F00E6">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三、</w:t>
            </w:r>
            <w:r>
              <w:rPr>
                <w:rFonts w:hint="eastAsia" w:ascii="宋体" w:hAnsi="宋体" w:eastAsia="宋体" w:cs="宋体"/>
                <w:color w:val="auto"/>
                <w:sz w:val="24"/>
                <w:szCs w:val="24"/>
                <w:lang w:val="en-US" w:eastAsia="zh-CN"/>
              </w:rPr>
              <w:t>任务实施</w:t>
            </w:r>
          </w:p>
          <w:p w14:paraId="5143D2D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1.布袋加封</w:t>
            </w:r>
          </w:p>
          <w:p w14:paraId="57CB909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封条上必须标明封存金额、封存站点、封存人员以及封存日期。站点工作人员需确保在用绳子将布袋口缠紧后，再用封条进行封存。对于纸币的封存，应先用砂纸或信封进行初步封存，然后再将其置入布袋中进行最终封存。</w:t>
            </w:r>
          </w:p>
        </w:tc>
        <w:tc>
          <w:tcPr>
            <w:tcW w:w="1521" w:type="dxa"/>
            <w:shd w:val="clear" w:color="auto" w:fill="FFFFFF" w:themeFill="background1"/>
            <w:vAlign w:val="center"/>
          </w:tcPr>
          <w:p w14:paraId="25A3DF1A">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sz w:val="24"/>
                <w:szCs w:val="24"/>
                <w:lang w:val="en-US" w:eastAsia="zh-CN"/>
              </w:rPr>
            </w:pPr>
            <w:r>
              <w:rPr>
                <w:rFonts w:hint="eastAsia" w:ascii="Times New Roman" w:hAnsi="Times New Roman"/>
                <w:sz w:val="24"/>
                <w:szCs w:val="24"/>
                <w:lang w:val="en-US" w:eastAsia="zh-CN"/>
              </w:rPr>
              <w:t>教师讲解，学生进行实施操作</w:t>
            </w:r>
          </w:p>
        </w:tc>
        <w:tc>
          <w:tcPr>
            <w:tcW w:w="1522" w:type="dxa"/>
            <w:shd w:val="clear" w:color="auto" w:fill="FFFFFF" w:themeFill="background1"/>
            <w:vAlign w:val="center"/>
          </w:tcPr>
          <w:p w14:paraId="1E29F73F">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帮助学生掌握</w:t>
            </w:r>
            <w:r>
              <w:rPr>
                <w:rFonts w:hint="eastAsia" w:ascii="宋体" w:hAnsi="宋体" w:eastAsia="宋体" w:cs="宋体"/>
                <w:color w:val="auto"/>
                <w:kern w:val="0"/>
                <w:sz w:val="24"/>
                <w:szCs w:val="24"/>
                <w:lang w:val="en-US" w:eastAsia="zh-CN" w:bidi="ar"/>
              </w:rPr>
              <w:t>布袋加封</w:t>
            </w:r>
          </w:p>
        </w:tc>
      </w:tr>
      <w:tr w14:paraId="2AE2F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D216ABC">
            <w:pPr>
              <w:rPr>
                <w:color w:val="auto"/>
              </w:rPr>
            </w:pPr>
          </w:p>
        </w:tc>
        <w:tc>
          <w:tcPr>
            <w:tcW w:w="5479" w:type="dxa"/>
            <w:shd w:val="clear" w:color="auto" w:fill="FFFFFF" w:themeFill="background1"/>
          </w:tcPr>
          <w:p w14:paraId="6E745C1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信封加封</w:t>
            </w:r>
          </w:p>
          <w:p w14:paraId="68A457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在封存前，需在票务信封正面标明封存金额、封存站点、封存人员以及封存日期。封存过程中，首先封闭信封开口，然后在信封背面的封条骑缝处以及封面上盖章，并使用透明胶带固定信封背面的接缝。信封允许封存纸币，但仅限于同一种面额且数量不超过100张的纸币，需按面额整理后放入信封内进行封存，如图7-10所示。</w:t>
            </w:r>
          </w:p>
          <w:p w14:paraId="286E5C9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sz w:val="24"/>
                <w:szCs w:val="24"/>
              </w:rPr>
              <w:drawing>
                <wp:inline distT="0" distB="0" distL="114300" distR="114300">
                  <wp:extent cx="3332480" cy="1355090"/>
                  <wp:effectExtent l="0" t="0" r="1270" b="16510"/>
                  <wp:docPr id="38"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6"/>
                          <pic:cNvPicPr>
                            <a:picLocks noChangeAspect="1"/>
                          </pic:cNvPicPr>
                        </pic:nvPicPr>
                        <pic:blipFill>
                          <a:blip r:embed="rId6"/>
                          <a:stretch>
                            <a:fillRect/>
                          </a:stretch>
                        </pic:blipFill>
                        <pic:spPr>
                          <a:xfrm>
                            <a:off x="0" y="0"/>
                            <a:ext cx="3332480" cy="1355090"/>
                          </a:xfrm>
                          <a:prstGeom prst="rect">
                            <a:avLst/>
                          </a:prstGeom>
                          <a:noFill/>
                          <a:ln>
                            <a:noFill/>
                          </a:ln>
                        </pic:spPr>
                      </pic:pic>
                    </a:graphicData>
                  </a:graphic>
                </wp:inline>
              </w:drawing>
            </w:r>
          </w:p>
        </w:tc>
        <w:tc>
          <w:tcPr>
            <w:tcW w:w="1521" w:type="dxa"/>
            <w:shd w:val="clear" w:color="auto" w:fill="FFFFFF" w:themeFill="background1"/>
            <w:vAlign w:val="center"/>
          </w:tcPr>
          <w:p w14:paraId="307BFFB5">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sz w:val="24"/>
                <w:szCs w:val="24"/>
                <w:lang w:val="en-US" w:eastAsia="zh-CN"/>
              </w:rPr>
            </w:pPr>
            <w:r>
              <w:rPr>
                <w:rFonts w:hint="eastAsia" w:ascii="Times New Roman" w:hAnsi="Times New Roman"/>
                <w:sz w:val="24"/>
                <w:szCs w:val="24"/>
                <w:lang w:val="en-US" w:eastAsia="zh-CN"/>
              </w:rPr>
              <w:t>展示图片</w:t>
            </w:r>
          </w:p>
          <w:p w14:paraId="6787B8E2">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sz w:val="24"/>
                <w:szCs w:val="24"/>
                <w:lang w:val="en-US" w:eastAsia="zh-CN"/>
              </w:rPr>
              <w:t>教师讲解，学生进行实施操作</w:t>
            </w:r>
          </w:p>
        </w:tc>
        <w:tc>
          <w:tcPr>
            <w:tcW w:w="1522" w:type="dxa"/>
            <w:shd w:val="clear" w:color="auto" w:fill="FFFFFF" w:themeFill="background1"/>
            <w:vAlign w:val="center"/>
          </w:tcPr>
          <w:p w14:paraId="090EF236">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帮助学生掌握</w:t>
            </w:r>
            <w:r>
              <w:rPr>
                <w:rFonts w:hint="eastAsia" w:ascii="宋体" w:hAnsi="宋体" w:eastAsia="宋体" w:cs="宋体"/>
                <w:color w:val="auto"/>
                <w:kern w:val="0"/>
                <w:sz w:val="24"/>
                <w:szCs w:val="24"/>
                <w:lang w:val="en-US" w:eastAsia="zh-CN" w:bidi="ar"/>
              </w:rPr>
              <w:t>信封加封</w:t>
            </w:r>
          </w:p>
        </w:tc>
      </w:tr>
      <w:tr w14:paraId="306BC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06A2698">
            <w:pPr>
              <w:rPr>
                <w:color w:val="auto"/>
              </w:rPr>
            </w:pPr>
          </w:p>
        </w:tc>
        <w:tc>
          <w:tcPr>
            <w:tcW w:w="5479" w:type="dxa"/>
            <w:shd w:val="clear" w:color="auto" w:fill="FFFFFF" w:themeFill="background1"/>
          </w:tcPr>
          <w:p w14:paraId="7F1124B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3.砂纸加封</w:t>
            </w:r>
          </w:p>
          <w:p w14:paraId="7C9861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使用砂纸加封时，应采用“一”字加封。将现金用砂纸“一”字型缠绕后加封（不需装入信封），且加封后确保纸币无法从中抽出，并在封条上注明加封内容、加封车站、加封人和加封日期，如图7-11所示。</w:t>
            </w:r>
          </w:p>
          <w:p w14:paraId="29A9A5C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drawing>
                <wp:inline distT="0" distB="0" distL="114300" distR="114300">
                  <wp:extent cx="3336290" cy="1671955"/>
                  <wp:effectExtent l="0" t="0" r="16510" b="4445"/>
                  <wp:docPr id="39"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7"/>
                          <pic:cNvPicPr>
                            <a:picLocks noChangeAspect="1"/>
                          </pic:cNvPicPr>
                        </pic:nvPicPr>
                        <pic:blipFill>
                          <a:blip r:embed="rId7"/>
                          <a:stretch>
                            <a:fillRect/>
                          </a:stretch>
                        </pic:blipFill>
                        <pic:spPr>
                          <a:xfrm>
                            <a:off x="0" y="0"/>
                            <a:ext cx="3336290" cy="1671955"/>
                          </a:xfrm>
                          <a:prstGeom prst="rect">
                            <a:avLst/>
                          </a:prstGeom>
                          <a:noFill/>
                          <a:ln>
                            <a:noFill/>
                          </a:ln>
                        </pic:spPr>
                      </pic:pic>
                    </a:graphicData>
                  </a:graphic>
                </wp:inline>
              </w:drawing>
            </w:r>
          </w:p>
        </w:tc>
        <w:tc>
          <w:tcPr>
            <w:tcW w:w="1521" w:type="dxa"/>
            <w:shd w:val="clear" w:color="auto" w:fill="FFFFFF" w:themeFill="background1"/>
            <w:vAlign w:val="center"/>
          </w:tcPr>
          <w:p w14:paraId="7A65551C">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sz w:val="24"/>
                <w:szCs w:val="24"/>
                <w:lang w:val="en-US" w:eastAsia="zh-CN"/>
              </w:rPr>
            </w:pPr>
            <w:r>
              <w:rPr>
                <w:rFonts w:hint="eastAsia" w:ascii="Times New Roman" w:hAnsi="Times New Roman"/>
                <w:sz w:val="24"/>
                <w:szCs w:val="24"/>
                <w:lang w:val="en-US" w:eastAsia="zh-CN"/>
              </w:rPr>
              <w:t>展示图片</w:t>
            </w:r>
          </w:p>
          <w:p w14:paraId="794326F0">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2"/>
                <w:sz w:val="24"/>
                <w:szCs w:val="24"/>
                <w:lang w:val="en-US" w:eastAsia="zh-CN" w:bidi="ar-SA"/>
              </w:rPr>
            </w:pPr>
            <w:r>
              <w:rPr>
                <w:rFonts w:hint="eastAsia" w:ascii="Times New Roman" w:hAnsi="Times New Roman"/>
                <w:sz w:val="24"/>
                <w:szCs w:val="24"/>
                <w:lang w:val="en-US" w:eastAsia="zh-CN"/>
              </w:rPr>
              <w:t>教师讲解，学生进行实施操作</w:t>
            </w:r>
          </w:p>
        </w:tc>
        <w:tc>
          <w:tcPr>
            <w:tcW w:w="1522" w:type="dxa"/>
            <w:shd w:val="clear" w:color="auto" w:fill="FFFFFF" w:themeFill="background1"/>
            <w:vAlign w:val="center"/>
          </w:tcPr>
          <w:p w14:paraId="73AE32A0">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帮助学生掌握</w:t>
            </w:r>
            <w:r>
              <w:rPr>
                <w:rFonts w:hint="eastAsia" w:ascii="宋体" w:hAnsi="宋体" w:eastAsia="宋体" w:cs="宋体"/>
                <w:color w:val="auto"/>
                <w:kern w:val="0"/>
                <w:sz w:val="24"/>
                <w:szCs w:val="24"/>
                <w:lang w:val="en-US" w:eastAsia="zh-CN" w:bidi="ar"/>
              </w:rPr>
              <w:t>砂纸加封</w:t>
            </w:r>
          </w:p>
        </w:tc>
      </w:tr>
      <w:tr w14:paraId="77235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7463BF5">
            <w:pPr>
              <w:rPr>
                <w:color w:val="auto"/>
              </w:rPr>
            </w:pPr>
          </w:p>
        </w:tc>
        <w:tc>
          <w:tcPr>
            <w:tcW w:w="5479" w:type="dxa"/>
            <w:shd w:val="clear" w:color="auto" w:fill="FFFFFF" w:themeFill="background1"/>
          </w:tcPr>
          <w:p w14:paraId="31CC98E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四</w:t>
            </w:r>
            <w:r>
              <w:rPr>
                <w:rFonts w:hint="eastAsia" w:ascii="宋体" w:hAnsi="宋体" w:cs="宋体"/>
                <w:color w:val="auto"/>
                <w:kern w:val="2"/>
                <w:sz w:val="24"/>
                <w:szCs w:val="24"/>
                <w:lang w:val="en-US" w:eastAsia="zh-CN" w:bidi="ar-SA"/>
              </w:rPr>
              <w:t>、</w:t>
            </w:r>
            <w:r>
              <w:rPr>
                <w:rFonts w:hint="eastAsia" w:ascii="宋体" w:hAnsi="宋体" w:eastAsia="宋体" w:cs="宋体"/>
                <w:color w:val="auto"/>
                <w:sz w:val="24"/>
                <w:szCs w:val="24"/>
                <w:lang w:val="en-US" w:eastAsia="zh-CN"/>
              </w:rPr>
              <w:t>任务评价</w:t>
            </w:r>
          </w:p>
          <w:p w14:paraId="5C118A0B">
            <w:pPr>
              <w:keepNext w:val="0"/>
              <w:keepLines w:val="0"/>
              <w:pageBreakBefore w:val="0"/>
              <w:widowControl/>
              <w:numPr>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drawing>
                <wp:inline distT="0" distB="0" distL="114300" distR="114300">
                  <wp:extent cx="3339465" cy="2090420"/>
                  <wp:effectExtent l="0" t="0" r="13335" b="5080"/>
                  <wp:docPr id="40"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8"/>
                          <pic:cNvPicPr>
                            <a:picLocks noChangeAspect="1"/>
                          </pic:cNvPicPr>
                        </pic:nvPicPr>
                        <pic:blipFill>
                          <a:blip r:embed="rId8"/>
                          <a:stretch>
                            <a:fillRect/>
                          </a:stretch>
                        </pic:blipFill>
                        <pic:spPr>
                          <a:xfrm>
                            <a:off x="0" y="0"/>
                            <a:ext cx="3339465" cy="2090420"/>
                          </a:xfrm>
                          <a:prstGeom prst="rect">
                            <a:avLst/>
                          </a:prstGeom>
                          <a:noFill/>
                          <a:ln>
                            <a:noFill/>
                          </a:ln>
                        </pic:spPr>
                      </pic:pic>
                    </a:graphicData>
                  </a:graphic>
                </wp:inline>
              </w:drawing>
            </w:r>
          </w:p>
        </w:tc>
        <w:tc>
          <w:tcPr>
            <w:tcW w:w="1521" w:type="dxa"/>
            <w:shd w:val="clear" w:color="auto" w:fill="FFFFFF" w:themeFill="background1"/>
            <w:vAlign w:val="center"/>
          </w:tcPr>
          <w:p w14:paraId="363512D8">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sz w:val="24"/>
                <w:szCs w:val="24"/>
                <w:lang w:val="en-US" w:eastAsia="zh-CN"/>
              </w:rPr>
            </w:pPr>
            <w:r>
              <w:rPr>
                <w:rFonts w:hint="eastAsia" w:ascii="Times New Roman" w:hAnsi="Times New Roman"/>
                <w:sz w:val="24"/>
                <w:szCs w:val="24"/>
                <w:lang w:val="en-US" w:eastAsia="zh-CN"/>
              </w:rPr>
              <w:t>学生进行自评、互评，教师进行评价</w:t>
            </w:r>
          </w:p>
        </w:tc>
        <w:tc>
          <w:tcPr>
            <w:tcW w:w="1522" w:type="dxa"/>
            <w:shd w:val="clear" w:color="auto" w:fill="FFFFFF" w:themeFill="background1"/>
            <w:vAlign w:val="center"/>
          </w:tcPr>
          <w:p w14:paraId="2B7F3B3A">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帮助学生了解学习效果，教师掌握教学情况</w:t>
            </w:r>
          </w:p>
        </w:tc>
      </w:tr>
      <w:tr w14:paraId="4C52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56F3C0C8">
            <w:pPr>
              <w:rPr>
                <w:rFonts w:hint="eastAsia" w:eastAsia="宋体"/>
                <w:color w:val="auto"/>
                <w:lang w:val="en-US" w:eastAsia="zh-CN"/>
              </w:rPr>
            </w:pPr>
            <w:r>
              <w:rPr>
                <w:rFonts w:hint="eastAsia" w:ascii="宋体" w:cs="宋体"/>
                <w:b/>
                <w:color w:val="auto"/>
                <w:sz w:val="28"/>
                <w:lang w:val="en-US" w:eastAsia="zh-CN"/>
              </w:rPr>
              <w:t>任务提升</w:t>
            </w:r>
          </w:p>
        </w:tc>
        <w:tc>
          <w:tcPr>
            <w:tcW w:w="8522" w:type="dxa"/>
            <w:gridSpan w:val="3"/>
            <w:shd w:val="clear" w:color="000000" w:fill="FFFFFF"/>
            <w:vAlign w:val="center"/>
          </w:tcPr>
          <w:p w14:paraId="522F1EF3">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（一）判断题</w:t>
            </w:r>
          </w:p>
          <w:p w14:paraId="14107A6E">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1.备用金包括车站备用金和个人备用金。车站备用金是指由公司配发给车站，用于车站售票业务需求的专项资金，包括与银行兑零、为乘客找零、为乘客兑零、TVM补币、票务员售票配备用金。</w:t>
            </w:r>
          </w:p>
          <w:p w14:paraId="20045760">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2.备用金为固定数额，遇大型节假日可根据需要增配临时备用金，由车站根据预计客流情况确定临时备用金需求量，按规定提前十个工作日提出申请并在节假日后五个工作日内归还。</w:t>
            </w:r>
          </w:p>
          <w:p w14:paraId="13432D92">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3.车站票款主要有自动售票机售票收入、自动充值机储值票充值收入、票务处半自动售票机售票和充值收入、临时售票亭售票收入等。</w:t>
            </w:r>
          </w:p>
          <w:p w14:paraId="4E4B848F">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4.清点过程发现机币、假、残、外币，需对准摄像头形成近景记录，并在《特殊情况票款交接记录表》做好记录后双人签字加封（加封内容为日期、车站名、设备名，机、假、残、外币类别、面额、数量），在当日《钱箱清点记录表》上备注说明，按扣除机、假、残币后的金额解行。</w:t>
            </w:r>
          </w:p>
          <w:p w14:paraId="3D62327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5.客值和站务员清点硬币时，倒入点币机后须确认硬币钱箱无遗留硬币，并注意检查有无非标准币。硬币清点须做到机点两遍，如两遍清点金额不一致需再次清点。</w:t>
            </w:r>
          </w:p>
          <w:p w14:paraId="111C1D49">
            <w:pPr>
              <w:spacing w:line="379" w:lineRule="auto"/>
              <w:ind w:right="480"/>
              <w:rPr>
                <w:rFonts w:hint="eastAsia" w:ascii="宋体" w:hAnsi="宋体" w:cs="宋体"/>
                <w:color w:val="auto"/>
                <w:sz w:val="24"/>
                <w:szCs w:val="24"/>
              </w:rPr>
            </w:pPr>
            <w:r>
              <w:rPr>
                <w:rFonts w:hint="eastAsia" w:ascii="宋体" w:hAnsi="宋体" w:cs="宋体"/>
                <w:color w:val="auto"/>
                <w:sz w:val="24"/>
                <w:szCs w:val="24"/>
              </w:rPr>
              <w:t>（二）简答题</w:t>
            </w:r>
          </w:p>
          <w:p w14:paraId="7B23AD08">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1.简述客值清点作业流程。</w:t>
            </w:r>
          </w:p>
          <w:p w14:paraId="474C11C2">
            <w:pPr>
              <w:spacing w:line="379" w:lineRule="auto"/>
              <w:ind w:right="480"/>
              <w:rPr>
                <w:rFonts w:ascii="宋体" w:cs="宋体"/>
                <w:color w:val="auto"/>
                <w:sz w:val="24"/>
                <w:szCs w:val="24"/>
              </w:rPr>
            </w:pPr>
            <w:r>
              <w:rPr>
                <w:rFonts w:hint="eastAsia" w:ascii="宋体" w:cs="宋体"/>
                <w:color w:val="auto"/>
                <w:sz w:val="24"/>
                <w:szCs w:val="24"/>
                <w:lang w:val="en-US" w:eastAsia="zh-CN"/>
              </w:rPr>
              <w:t>2.简述票款解行作业流程。</w:t>
            </w:r>
          </w:p>
        </w:tc>
      </w:tr>
      <w:tr w14:paraId="3B09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05937F3D">
            <w:pPr>
              <w:rPr>
                <w:color w:val="auto"/>
              </w:rPr>
            </w:pPr>
            <w:r>
              <w:rPr>
                <w:rFonts w:hint="eastAsia" w:ascii="宋体" w:cs="宋体"/>
                <w:b/>
                <w:color w:val="auto"/>
                <w:sz w:val="28"/>
              </w:rPr>
              <w:t>板书设计</w:t>
            </w:r>
          </w:p>
        </w:tc>
        <w:tc>
          <w:tcPr>
            <w:tcW w:w="8522" w:type="dxa"/>
            <w:gridSpan w:val="3"/>
            <w:shd w:val="clear" w:color="000000" w:fill="FFFFFF"/>
          </w:tcPr>
          <w:p w14:paraId="322E7C7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rPr>
              <w:t>模块</w:t>
            </w:r>
            <w:r>
              <w:rPr>
                <w:rFonts w:hint="eastAsia" w:ascii="Times New Roman" w:hAnsi="Times New Roman"/>
                <w:color w:val="auto"/>
                <w:sz w:val="24"/>
                <w:szCs w:val="24"/>
                <w:lang w:val="en-US" w:eastAsia="zh-CN"/>
              </w:rPr>
              <w:t xml:space="preserve">七  </w:t>
            </w:r>
            <w:r>
              <w:rPr>
                <w:rFonts w:hint="eastAsia" w:ascii="Times New Roman" w:hAnsi="Times New Roman"/>
                <w:color w:val="auto"/>
                <w:sz w:val="24"/>
                <w:szCs w:val="24"/>
              </w:rPr>
              <w:t>课题</w:t>
            </w:r>
            <w:r>
              <w:rPr>
                <w:rFonts w:hint="eastAsia" w:ascii="Times New Roman" w:hAnsi="Times New Roman"/>
                <w:color w:val="auto"/>
                <w:sz w:val="24"/>
                <w:szCs w:val="24"/>
                <w:lang w:val="en-US" w:eastAsia="zh-CN"/>
              </w:rPr>
              <w:t>二  票款管理作业</w:t>
            </w:r>
          </w:p>
          <w:p w14:paraId="53D3704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（一）客值清点作业</w:t>
            </w:r>
          </w:p>
          <w:p w14:paraId="6AD35CB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1.清点人员</w:t>
            </w:r>
          </w:p>
          <w:p w14:paraId="1DA9D8D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2.需要填写的报表</w:t>
            </w:r>
          </w:p>
          <w:p w14:paraId="38D1AB3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3.清点规定</w:t>
            </w:r>
          </w:p>
          <w:p w14:paraId="5DE3D1C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4.清点流程</w:t>
            </w:r>
          </w:p>
          <w:p w14:paraId="7A7CFA4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（二）票款解行</w:t>
            </w:r>
          </w:p>
          <w:p w14:paraId="0B9DB38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1.解行负责人</w:t>
            </w:r>
          </w:p>
          <w:p w14:paraId="2B09C2A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2.解行时间</w:t>
            </w:r>
          </w:p>
          <w:p w14:paraId="27B7461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3.解行操作流程</w:t>
            </w:r>
          </w:p>
          <w:p w14:paraId="4FE5B99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（三）自动售票机更换钱箱、现金清点与加币</w:t>
            </w:r>
          </w:p>
          <w:p w14:paraId="4DB05F9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1.自动售票机更换钱箱管理规定</w:t>
            </w:r>
          </w:p>
          <w:p w14:paraId="3A71FDA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2.自动售票机现金清点的管理规定</w:t>
            </w:r>
          </w:p>
          <w:p w14:paraId="11EB879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cs="Calibri"/>
                <w:color w:val="auto"/>
                <w:sz w:val="24"/>
                <w:lang w:val="en-US" w:eastAsia="zh-CN"/>
              </w:rPr>
            </w:pPr>
            <w:r>
              <w:rPr>
                <w:rFonts w:hint="eastAsia" w:ascii="Times New Roman" w:hAnsi="Times New Roman"/>
                <w:color w:val="auto"/>
                <w:sz w:val="24"/>
                <w:szCs w:val="24"/>
                <w:lang w:val="en-US" w:eastAsia="zh-CN"/>
              </w:rPr>
              <w:t>3.自动售票机加币作业的管理规定</w:t>
            </w:r>
          </w:p>
        </w:tc>
      </w:tr>
      <w:tr w14:paraId="1D6B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79CF90F2">
            <w:pPr>
              <w:rPr>
                <w:color w:val="auto"/>
              </w:rPr>
            </w:pPr>
            <w:r>
              <w:rPr>
                <w:rFonts w:ascii="宋体" w:cs="宋体"/>
                <w:b/>
                <w:color w:val="auto"/>
                <w:sz w:val="28"/>
              </w:rPr>
              <w:t>教学反思</w:t>
            </w:r>
            <w:r>
              <w:rPr>
                <w:rFonts w:hint="eastAsia" w:ascii="宋体" w:cs="宋体"/>
                <w:b/>
                <w:color w:val="auto"/>
                <w:sz w:val="28"/>
              </w:rPr>
              <w:t>（</w:t>
            </w:r>
            <w:r>
              <w:rPr>
                <w:rFonts w:hint="eastAsia" w:ascii="宋体" w:cs="宋体"/>
                <w:b/>
                <w:color w:val="FF0000"/>
                <w:sz w:val="28"/>
              </w:rPr>
              <w:t>手写</w:t>
            </w:r>
            <w:r>
              <w:rPr>
                <w:rFonts w:hint="eastAsia" w:ascii="宋体" w:cs="宋体"/>
                <w:b/>
                <w:color w:val="auto"/>
                <w:sz w:val="28"/>
              </w:rPr>
              <w:t>）</w:t>
            </w:r>
          </w:p>
        </w:tc>
        <w:tc>
          <w:tcPr>
            <w:tcW w:w="8522" w:type="dxa"/>
            <w:gridSpan w:val="3"/>
            <w:shd w:val="clear" w:color="auto" w:fill="FFFFFF" w:themeFill="background1"/>
          </w:tcPr>
          <w:p w14:paraId="2AF894A4">
            <w:pPr>
              <w:rPr>
                <w:color w:val="auto"/>
              </w:rPr>
            </w:pPr>
          </w:p>
        </w:tc>
      </w:tr>
    </w:tbl>
    <w:p w14:paraId="5E3E3E76"/>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粗宋_GBK">
    <w:altName w:val="宋体"/>
    <w:panose1 w:val="00000000000000000000"/>
    <w:charset w:val="00"/>
    <w:family w:val="auto"/>
    <w:pitch w:val="default"/>
    <w:sig w:usb0="00000000" w:usb1="00000000" w:usb2="00000000" w:usb3="00000000" w:csb0="00000000"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兰亭粗黑_GBK">
    <w:altName w:val="黑体"/>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 w:name="方正大黑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B4A85"/>
    <w:rsid w:val="001F78C2"/>
    <w:rsid w:val="00C435AA"/>
    <w:rsid w:val="00F52B12"/>
    <w:rsid w:val="069114AA"/>
    <w:rsid w:val="0B937689"/>
    <w:rsid w:val="10BE3E04"/>
    <w:rsid w:val="116F4AAF"/>
    <w:rsid w:val="16F342B3"/>
    <w:rsid w:val="1875006A"/>
    <w:rsid w:val="1C1B4A85"/>
    <w:rsid w:val="1D7D118B"/>
    <w:rsid w:val="2935110A"/>
    <w:rsid w:val="308A799E"/>
    <w:rsid w:val="33396D97"/>
    <w:rsid w:val="34F47329"/>
    <w:rsid w:val="3F0D2A93"/>
    <w:rsid w:val="42106296"/>
    <w:rsid w:val="49E06568"/>
    <w:rsid w:val="4AF53986"/>
    <w:rsid w:val="54D9517B"/>
    <w:rsid w:val="5F972637"/>
    <w:rsid w:val="693C6DF1"/>
    <w:rsid w:val="718408CB"/>
    <w:rsid w:val="753905B0"/>
    <w:rsid w:val="7C5F2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4482</Words>
  <Characters>4591</Characters>
  <Lines>66</Lines>
  <Paragraphs>18</Paragraphs>
  <TotalTime>99</TotalTime>
  <ScaleCrop>false</ScaleCrop>
  <LinksUpToDate>false</LinksUpToDate>
  <CharactersWithSpaces>4760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2025-05-07T10:12:00Z</dcterms:created>
  <dc:creator>TREASURE</dc:creator>
  <cp:lastModifiedBy>TREASURE</cp:lastModifiedBy>
  <dcterms:modified xsi:type="dcterms:W3CDTF">2025-05-09T06:07:15Z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90053E3D43064E07A182B72DCF105D71_13</vt:lpwstr>
  </property>
  <property fmtid="{D5CDD505-2E9C-101B-9397-08002B2CF9AE}" pid="4" name="KSOTemplateDocerSaveRecord">
    <vt:lpwstr>eyJoZGlkIjoiMjNjZjU1MDBkNjRkNjMxZTZhZDVjMzc0NWEyZDI1OGUiLCJ1c2VySWQiOiI5MzI1MjI1NzkifQ==</vt:lpwstr>
  </property>
</Properties>
</file>